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8" w:rsidRDefault="001C6358" w:rsidP="003B6451">
      <w:pPr>
        <w:rPr>
          <w:rFonts w:ascii="Arial" w:hAnsi="Arial" w:cs="Arial"/>
          <w:color w:val="999999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-525780</wp:posOffset>
            </wp:positionV>
            <wp:extent cx="1419225" cy="1123950"/>
            <wp:effectExtent l="0" t="0" r="0" b="0"/>
            <wp:wrapSquare wrapText="bothSides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451" w:rsidRDefault="003B6451" w:rsidP="003B6451">
      <w:pPr>
        <w:rPr>
          <w:rFonts w:ascii="Arial" w:hAnsi="Arial" w:cs="Arial"/>
          <w:color w:val="999999"/>
          <w:sz w:val="26"/>
          <w:szCs w:val="26"/>
        </w:rPr>
      </w:pPr>
    </w:p>
    <w:p w:rsidR="00163601" w:rsidRDefault="00163601" w:rsidP="003B6451">
      <w:pPr>
        <w:rPr>
          <w:rFonts w:ascii="Arial" w:hAnsi="Arial" w:cs="Arial"/>
          <w:color w:val="999999"/>
          <w:sz w:val="26"/>
          <w:szCs w:val="26"/>
        </w:rPr>
      </w:pPr>
    </w:p>
    <w:p w:rsidR="00163601" w:rsidRPr="00C625D1" w:rsidRDefault="00163601" w:rsidP="003B6451">
      <w:pPr>
        <w:rPr>
          <w:rFonts w:ascii="Arial" w:hAnsi="Arial" w:cs="Arial"/>
          <w:color w:val="999999"/>
          <w:sz w:val="26"/>
          <w:szCs w:val="26"/>
        </w:rPr>
      </w:pPr>
    </w:p>
    <w:p w:rsidR="00C343F2" w:rsidRDefault="00C343F2" w:rsidP="00921C90">
      <w:pPr>
        <w:ind w:right="-328"/>
        <w:jc w:val="center"/>
        <w:rPr>
          <w:rFonts w:ascii="Arial" w:hAnsi="Arial" w:cs="Arial"/>
          <w:color w:val="C0C0C0"/>
          <w:sz w:val="52"/>
          <w:szCs w:val="52"/>
        </w:rPr>
      </w:pPr>
    </w:p>
    <w:p w:rsidR="001C6358" w:rsidRPr="00E870FF" w:rsidRDefault="001C6358" w:rsidP="00921C90">
      <w:pPr>
        <w:ind w:right="-328"/>
        <w:jc w:val="center"/>
        <w:rPr>
          <w:rFonts w:ascii="Arial" w:hAnsi="Arial" w:cs="Arial"/>
          <w:color w:val="C0C0C0"/>
          <w:sz w:val="52"/>
          <w:szCs w:val="52"/>
        </w:rPr>
      </w:pPr>
      <w:r w:rsidRPr="00E870FF">
        <w:rPr>
          <w:rFonts w:ascii="Arial" w:hAnsi="Arial" w:cs="Arial"/>
          <w:color w:val="C0C0C0"/>
          <w:sz w:val="52"/>
          <w:szCs w:val="52"/>
        </w:rPr>
        <w:t>NATIONAL PENSION COMMISSION</w:t>
      </w:r>
    </w:p>
    <w:p w:rsidR="00484417" w:rsidRPr="00C343F2" w:rsidRDefault="00484417" w:rsidP="00484417">
      <w:pPr>
        <w:tabs>
          <w:tab w:val="left" w:pos="1440"/>
          <w:tab w:val="left" w:pos="2160"/>
        </w:tabs>
        <w:ind w:left="2160" w:hanging="2160"/>
        <w:jc w:val="both"/>
        <w:rPr>
          <w:rFonts w:ascii="Arial" w:hAnsi="Arial"/>
          <w:b/>
          <w:bCs/>
          <w:sz w:val="16"/>
          <w:szCs w:val="16"/>
        </w:rPr>
      </w:pPr>
    </w:p>
    <w:p w:rsidR="00163601" w:rsidRPr="00C343F2" w:rsidRDefault="00163601" w:rsidP="00484417">
      <w:pPr>
        <w:tabs>
          <w:tab w:val="left" w:pos="1440"/>
          <w:tab w:val="left" w:pos="2160"/>
        </w:tabs>
        <w:ind w:left="2160" w:hanging="2160"/>
        <w:jc w:val="both"/>
        <w:rPr>
          <w:rFonts w:ascii="Arial" w:hAnsi="Arial"/>
          <w:b/>
          <w:bCs/>
          <w:sz w:val="16"/>
          <w:szCs w:val="16"/>
        </w:rPr>
      </w:pPr>
    </w:p>
    <w:p w:rsidR="00163601" w:rsidRPr="00163601" w:rsidRDefault="00163601" w:rsidP="00163601">
      <w:pPr>
        <w:ind w:right="310"/>
        <w:jc w:val="both"/>
        <w:rPr>
          <w:rFonts w:ascii="Arial" w:hAnsi="Arial" w:cs="Arial"/>
          <w:b/>
          <w:bCs/>
          <w:sz w:val="26"/>
          <w:szCs w:val="26"/>
        </w:rPr>
      </w:pPr>
      <w:r w:rsidRPr="00163601">
        <w:rPr>
          <w:rFonts w:ascii="Arial" w:hAnsi="Arial" w:cs="Arial"/>
          <w:b/>
          <w:bCs/>
          <w:sz w:val="26"/>
          <w:szCs w:val="26"/>
        </w:rPr>
        <w:t xml:space="preserve">UPDATE ON ACTIVITIES OF THE NATIONAL PENSION COMMISSION (PENCOM) </w:t>
      </w:r>
      <w:r w:rsidR="00921C90">
        <w:rPr>
          <w:rFonts w:ascii="Arial" w:hAnsi="Arial" w:cs="Arial"/>
          <w:b/>
          <w:bCs/>
          <w:sz w:val="26"/>
          <w:szCs w:val="26"/>
        </w:rPr>
        <w:t xml:space="preserve">SUBMITTED </w:t>
      </w:r>
      <w:r w:rsidR="00517305">
        <w:rPr>
          <w:rFonts w:ascii="Arial" w:hAnsi="Arial" w:cs="Arial"/>
          <w:b/>
          <w:bCs/>
          <w:sz w:val="26"/>
          <w:szCs w:val="26"/>
        </w:rPr>
        <w:t xml:space="preserve">FOR THE </w:t>
      </w:r>
      <w:r w:rsidR="00C343F2">
        <w:rPr>
          <w:rFonts w:ascii="Arial" w:hAnsi="Arial" w:cs="Arial"/>
          <w:b/>
          <w:bCs/>
          <w:sz w:val="26"/>
          <w:szCs w:val="26"/>
        </w:rPr>
        <w:t xml:space="preserve">THIRD QUARTER 2015 CAPITAL MARKET COMMITTEE (CMC) </w:t>
      </w:r>
      <w:r w:rsidR="00517305">
        <w:rPr>
          <w:rFonts w:ascii="Arial" w:hAnsi="Arial" w:cs="Arial"/>
          <w:b/>
          <w:bCs/>
          <w:sz w:val="26"/>
          <w:szCs w:val="26"/>
        </w:rPr>
        <w:t xml:space="preserve">MEETING </w:t>
      </w:r>
    </w:p>
    <w:p w:rsidR="00163601" w:rsidRPr="00C343F2" w:rsidRDefault="00163601" w:rsidP="00484417">
      <w:pPr>
        <w:tabs>
          <w:tab w:val="left" w:pos="1440"/>
          <w:tab w:val="left" w:pos="2160"/>
        </w:tabs>
        <w:ind w:left="2160" w:hanging="2160"/>
        <w:jc w:val="both"/>
        <w:rPr>
          <w:rFonts w:ascii="Arial" w:hAnsi="Arial"/>
          <w:b/>
          <w:bCs/>
          <w:sz w:val="16"/>
          <w:szCs w:val="16"/>
        </w:rPr>
      </w:pPr>
    </w:p>
    <w:p w:rsidR="003B6451" w:rsidRPr="00C343F2" w:rsidRDefault="003B6451" w:rsidP="00BE2CC1">
      <w:pPr>
        <w:tabs>
          <w:tab w:val="left" w:pos="5580"/>
        </w:tabs>
        <w:jc w:val="both"/>
        <w:rPr>
          <w:rFonts w:ascii="Arial" w:hAnsi="Arial"/>
          <w:bCs/>
          <w:sz w:val="16"/>
          <w:szCs w:val="16"/>
        </w:rPr>
      </w:pPr>
    </w:p>
    <w:p w:rsidR="003B78BA" w:rsidRPr="00DB663E" w:rsidRDefault="003B78BA" w:rsidP="00F43A2C">
      <w:pPr>
        <w:pStyle w:val="ListParagraph"/>
        <w:numPr>
          <w:ilvl w:val="0"/>
          <w:numId w:val="1"/>
        </w:numPr>
        <w:spacing w:after="200" w:line="276" w:lineRule="auto"/>
        <w:ind w:hanging="72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DB663E">
        <w:rPr>
          <w:rFonts w:ascii="Arial" w:hAnsi="Arial" w:cs="Arial"/>
          <w:b/>
          <w:sz w:val="26"/>
          <w:szCs w:val="26"/>
          <w:u w:val="single"/>
        </w:rPr>
        <w:t>Overview of Industry Pension Fund Portfolio</w:t>
      </w:r>
    </w:p>
    <w:p w:rsidR="003B78BA" w:rsidRPr="00C343F2" w:rsidRDefault="003B78BA" w:rsidP="003B78BA">
      <w:pPr>
        <w:pStyle w:val="ListParagraph"/>
        <w:ind w:left="0"/>
        <w:jc w:val="both"/>
        <w:rPr>
          <w:rFonts w:ascii="Arial" w:hAnsi="Arial" w:cs="Arial"/>
          <w:sz w:val="16"/>
          <w:szCs w:val="16"/>
        </w:rPr>
      </w:pPr>
    </w:p>
    <w:p w:rsidR="003B78BA" w:rsidRDefault="003B78BA" w:rsidP="002E38B7">
      <w:pPr>
        <w:pStyle w:val="ListParagraph"/>
        <w:spacing w:line="36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Table 1 below provides the portfolio valuation summary of th</w:t>
      </w:r>
      <w:r w:rsidRPr="00B449F4">
        <w:rPr>
          <w:rFonts w:ascii="Arial" w:hAnsi="Arial" w:cs="Arial"/>
          <w:sz w:val="26"/>
          <w:szCs w:val="26"/>
        </w:rPr>
        <w:t>e four categories of pension funds for the period ended 3</w:t>
      </w:r>
      <w:r w:rsidR="008A09A1">
        <w:rPr>
          <w:rFonts w:ascii="Arial" w:hAnsi="Arial" w:cs="Arial"/>
          <w:sz w:val="26"/>
          <w:szCs w:val="26"/>
        </w:rPr>
        <w:t>0September</w:t>
      </w:r>
      <w:r w:rsidRPr="00B449F4">
        <w:rPr>
          <w:rFonts w:ascii="Arial" w:hAnsi="Arial" w:cs="Arial"/>
          <w:sz w:val="26"/>
          <w:szCs w:val="26"/>
        </w:rPr>
        <w:t xml:space="preserve"> 201</w:t>
      </w:r>
      <w:r>
        <w:rPr>
          <w:rFonts w:ascii="Arial" w:hAnsi="Arial" w:cs="Arial"/>
          <w:sz w:val="26"/>
          <w:szCs w:val="26"/>
        </w:rPr>
        <w:t>5</w:t>
      </w:r>
      <w:r w:rsidRPr="00B449F4">
        <w:rPr>
          <w:rFonts w:ascii="Arial" w:hAnsi="Arial" w:cs="Arial"/>
          <w:sz w:val="26"/>
          <w:szCs w:val="26"/>
        </w:rPr>
        <w:t>:</w:t>
      </w:r>
    </w:p>
    <w:p w:rsidR="00751177" w:rsidRDefault="00751177" w:rsidP="00871EBA">
      <w:pPr>
        <w:pStyle w:val="ListParagraph"/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</w:p>
    <w:tbl>
      <w:tblPr>
        <w:tblW w:w="9913" w:type="dxa"/>
        <w:tblLook w:val="04A0"/>
      </w:tblPr>
      <w:tblGrid>
        <w:gridCol w:w="3355"/>
        <w:gridCol w:w="1251"/>
        <w:gridCol w:w="952"/>
        <w:gridCol w:w="1251"/>
        <w:gridCol w:w="952"/>
        <w:gridCol w:w="1201"/>
        <w:gridCol w:w="951"/>
      </w:tblGrid>
      <w:tr w:rsidR="00A6644B" w:rsidRPr="00A6644B" w:rsidTr="00D05121">
        <w:trPr>
          <w:trHeight w:val="72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Asset Class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31-Dec-14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30-Sep-15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664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Variance btw Dec'14 &amp; Sept'15</w:t>
            </w:r>
          </w:p>
        </w:tc>
      </w:tr>
      <w:tr w:rsidR="00A6644B" w:rsidRPr="00A6644B" w:rsidTr="00D05121">
        <w:trPr>
          <w:trHeight w:val="429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</w:t>
            </w: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' Billion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</w:t>
            </w: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' Billion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</w:t>
            </w: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' Billion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A6644B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Ordinary Shares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543.54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540.92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(2.62)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A6644B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FGN Securities: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644B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FGN Bonds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2,396.55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52%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2776.51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54%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 xml:space="preserve">379.96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</w:tr>
      <w:tr w:rsidR="00A6644B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Treasury Bills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497.78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653.68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13%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 xml:space="preserve">155.90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31%</w:t>
            </w:r>
          </w:p>
        </w:tc>
      </w:tr>
      <w:tr w:rsidR="00A6644B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State Govt. Bonds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172.40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160.52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(11.88)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-7%</w:t>
            </w:r>
          </w:p>
        </w:tc>
      </w:tr>
      <w:tr w:rsidR="00A6644B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Corporate Debt Securities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118.92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148.32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 xml:space="preserve">29.40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</w:tr>
      <w:tr w:rsidR="00A6644B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Supranational Bonds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  12.88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12.47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(0.41)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-3%</w:t>
            </w:r>
          </w:p>
        </w:tc>
      </w:tr>
      <w:tr w:rsidR="00A6644B" w:rsidRPr="00A6644B" w:rsidTr="00D05121">
        <w:trPr>
          <w:trHeight w:val="47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Local Money Market Instruments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541.69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475.11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(66.58)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-12%</w:t>
            </w:r>
          </w:p>
        </w:tc>
      </w:tr>
      <w:tr w:rsidR="00A6644B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Open/Close-End Funds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  20.35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19.97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(0.38)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-2%</w:t>
            </w:r>
          </w:p>
        </w:tc>
      </w:tr>
      <w:tr w:rsidR="00A6644B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057015" w:rsidP="00A66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 Estate Properties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213.25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208.31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(4.94)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-2%</w:t>
            </w:r>
          </w:p>
        </w:tc>
      </w:tr>
      <w:tr w:rsidR="00A6644B" w:rsidRPr="00A6644B" w:rsidTr="00D05121">
        <w:trPr>
          <w:trHeight w:val="387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Private Equity</w:t>
            </w:r>
            <w:r w:rsidR="00057015">
              <w:rPr>
                <w:rFonts w:ascii="Arial" w:hAnsi="Arial" w:cs="Arial"/>
                <w:sz w:val="20"/>
                <w:szCs w:val="20"/>
              </w:rPr>
              <w:t xml:space="preserve"> Fund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  11.77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13.84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 xml:space="preserve">2.07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4B" w:rsidRPr="00A6644B" w:rsidRDefault="00A6644B" w:rsidP="00A664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</w:tr>
      <w:tr w:rsidR="00057015" w:rsidRPr="00A6644B" w:rsidTr="00D05121">
        <w:trPr>
          <w:trHeight w:val="387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15" w:rsidRPr="00A6644B" w:rsidRDefault="00057015" w:rsidP="00057015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Infrastructure Fund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66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0%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 xml:space="preserve">1.22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057015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Foreign Investments: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15" w:rsidRPr="00A6644B" w:rsidRDefault="00057015" w:rsidP="000570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7015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    Equities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  59.50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64.58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 xml:space="preserve">5.08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</w:tr>
      <w:tr w:rsidR="00057015" w:rsidRPr="00A6644B" w:rsidTr="00D05121">
        <w:trPr>
          <w:trHeight w:val="523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    Money Market Instruments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    0.12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 xml:space="preserve">0.85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708%</w:t>
            </w:r>
          </w:p>
        </w:tc>
      </w:tr>
      <w:tr w:rsidR="00057015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Cash &amp; Other Assets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 xml:space="preserve">      23.20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27.38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 xml:space="preserve">4.18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</w:tr>
      <w:tr w:rsidR="00057015" w:rsidRPr="00A6644B" w:rsidTr="00D05121">
        <w:trPr>
          <w:trHeight w:val="2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15" w:rsidRPr="00A6644B" w:rsidRDefault="00057015" w:rsidP="000570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Total Pension Fund Assets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4,611.95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5,103.80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44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491.85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15" w:rsidRPr="00A6644B" w:rsidRDefault="00057015" w:rsidP="00057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11%</w:t>
            </w:r>
          </w:p>
        </w:tc>
      </w:tr>
    </w:tbl>
    <w:p w:rsidR="00A6644B" w:rsidRDefault="00A6644B" w:rsidP="002E38B7">
      <w:pPr>
        <w:pStyle w:val="ListParagraph"/>
        <w:numPr>
          <w:ilvl w:val="0"/>
          <w:numId w:val="2"/>
        </w:numPr>
        <w:tabs>
          <w:tab w:val="left" w:pos="5580"/>
        </w:tabs>
        <w:spacing w:line="360" w:lineRule="auto"/>
        <w:jc w:val="both"/>
        <w:rPr>
          <w:rFonts w:ascii="Arial" w:hAnsi="Arial"/>
          <w:bCs/>
          <w:sz w:val="26"/>
        </w:rPr>
      </w:pPr>
      <w:r w:rsidRPr="002D1B37">
        <w:rPr>
          <w:rFonts w:ascii="Arial" w:hAnsi="Arial"/>
          <w:bCs/>
          <w:sz w:val="26"/>
        </w:rPr>
        <w:lastRenderedPageBreak/>
        <w:t>The value of industry pension fund assets</w:t>
      </w:r>
      <w:r>
        <w:rPr>
          <w:rFonts w:ascii="Arial" w:hAnsi="Arial"/>
          <w:bCs/>
          <w:sz w:val="26"/>
        </w:rPr>
        <w:t xml:space="preserve"> grew from </w:t>
      </w:r>
      <w:r w:rsidRPr="002E38B7">
        <w:rPr>
          <w:rFonts w:ascii="Arial" w:hAnsi="Arial"/>
          <w:bCs/>
          <w:dstrike/>
          <w:sz w:val="26"/>
        </w:rPr>
        <w:t>N</w:t>
      </w:r>
      <w:r>
        <w:rPr>
          <w:rFonts w:ascii="Arial" w:hAnsi="Arial"/>
          <w:bCs/>
          <w:sz w:val="26"/>
        </w:rPr>
        <w:t xml:space="preserve">4.61Trillion on 31 December 2014, to </w:t>
      </w:r>
      <w:r w:rsidR="002E38B7" w:rsidRPr="002E38B7">
        <w:rPr>
          <w:rFonts w:ascii="Arial" w:hAnsi="Arial"/>
          <w:bCs/>
          <w:dstrike/>
          <w:sz w:val="26"/>
        </w:rPr>
        <w:t>N</w:t>
      </w:r>
      <w:r>
        <w:rPr>
          <w:rFonts w:ascii="Arial" w:hAnsi="Arial"/>
          <w:bCs/>
          <w:sz w:val="26"/>
        </w:rPr>
        <w:t>5.10Trillion as at 30 September, 2015. This resulted in</w:t>
      </w:r>
      <w:r w:rsidRPr="002D1B37">
        <w:rPr>
          <w:rFonts w:ascii="Arial" w:hAnsi="Arial"/>
          <w:bCs/>
          <w:sz w:val="26"/>
        </w:rPr>
        <w:t xml:space="preserve"> a net growth of</w:t>
      </w:r>
      <w:r w:rsidR="002E38B7" w:rsidRPr="002E38B7">
        <w:rPr>
          <w:rFonts w:ascii="Arial" w:hAnsi="Arial"/>
          <w:bCs/>
          <w:dstrike/>
          <w:sz w:val="26"/>
        </w:rPr>
        <w:t>N</w:t>
      </w:r>
      <w:r w:rsidR="002E38B7">
        <w:rPr>
          <w:rFonts w:ascii="Arial" w:hAnsi="Arial"/>
          <w:bCs/>
          <w:sz w:val="26"/>
        </w:rPr>
        <w:t>492</w:t>
      </w:r>
      <w:r>
        <w:rPr>
          <w:rFonts w:ascii="Arial" w:hAnsi="Arial"/>
          <w:bCs/>
          <w:sz w:val="26"/>
        </w:rPr>
        <w:t>Billion (</w:t>
      </w:r>
      <w:r w:rsidR="002E38B7">
        <w:rPr>
          <w:rFonts w:ascii="Arial" w:hAnsi="Arial"/>
          <w:bCs/>
          <w:sz w:val="26"/>
        </w:rPr>
        <w:t>11</w:t>
      </w:r>
      <w:r w:rsidRPr="002D1B37">
        <w:rPr>
          <w:rFonts w:ascii="Arial" w:hAnsi="Arial"/>
          <w:bCs/>
          <w:sz w:val="26"/>
        </w:rPr>
        <w:t>%</w:t>
      </w:r>
      <w:r>
        <w:rPr>
          <w:rFonts w:ascii="Arial" w:hAnsi="Arial"/>
          <w:bCs/>
          <w:sz w:val="26"/>
        </w:rPr>
        <w:t>) between December 201</w:t>
      </w:r>
      <w:r w:rsidR="002E38B7">
        <w:rPr>
          <w:rFonts w:ascii="Arial" w:hAnsi="Arial"/>
          <w:bCs/>
          <w:sz w:val="26"/>
        </w:rPr>
        <w:t>4</w:t>
      </w:r>
      <w:r>
        <w:rPr>
          <w:rFonts w:ascii="Arial" w:hAnsi="Arial"/>
          <w:bCs/>
          <w:sz w:val="26"/>
        </w:rPr>
        <w:t xml:space="preserve"> and </w:t>
      </w:r>
      <w:r w:rsidR="002E38B7">
        <w:rPr>
          <w:rFonts w:ascii="Arial" w:hAnsi="Arial"/>
          <w:bCs/>
          <w:sz w:val="26"/>
        </w:rPr>
        <w:t>September, 2015</w:t>
      </w:r>
      <w:r>
        <w:rPr>
          <w:rFonts w:ascii="Arial" w:hAnsi="Arial"/>
          <w:bCs/>
          <w:sz w:val="26"/>
        </w:rPr>
        <w:t>. The growth in pension fund assets was</w:t>
      </w:r>
      <w:r w:rsidRPr="002D1B37">
        <w:rPr>
          <w:rFonts w:ascii="Arial" w:hAnsi="Arial"/>
          <w:bCs/>
          <w:sz w:val="26"/>
        </w:rPr>
        <w:t xml:space="preserve"> mostly from new pension contributions into </w:t>
      </w:r>
      <w:r>
        <w:rPr>
          <w:rFonts w:ascii="Arial" w:hAnsi="Arial"/>
          <w:bCs/>
          <w:sz w:val="26"/>
        </w:rPr>
        <w:t xml:space="preserve">the </w:t>
      </w:r>
      <w:r w:rsidRPr="002D1B37">
        <w:rPr>
          <w:rFonts w:ascii="Arial" w:hAnsi="Arial"/>
          <w:bCs/>
          <w:sz w:val="26"/>
        </w:rPr>
        <w:t>RSA Funds.</w:t>
      </w:r>
    </w:p>
    <w:p w:rsidR="00A6644B" w:rsidRDefault="00A6644B" w:rsidP="002E38B7">
      <w:pPr>
        <w:pStyle w:val="ListParagraph"/>
        <w:tabs>
          <w:tab w:val="left" w:pos="5580"/>
        </w:tabs>
        <w:spacing w:line="360" w:lineRule="auto"/>
        <w:jc w:val="both"/>
        <w:rPr>
          <w:rFonts w:ascii="Arial" w:hAnsi="Arial"/>
          <w:bCs/>
          <w:sz w:val="26"/>
        </w:rPr>
      </w:pPr>
    </w:p>
    <w:p w:rsidR="00A6644B" w:rsidRDefault="00057015" w:rsidP="002E38B7">
      <w:pPr>
        <w:pStyle w:val="ListParagraph"/>
        <w:numPr>
          <w:ilvl w:val="0"/>
          <w:numId w:val="2"/>
        </w:numPr>
        <w:tabs>
          <w:tab w:val="left" w:pos="5580"/>
        </w:tabs>
        <w:spacing w:line="360" w:lineRule="auto"/>
        <w:jc w:val="both"/>
        <w:rPr>
          <w:rFonts w:ascii="Arial" w:hAnsi="Arial"/>
          <w:bCs/>
          <w:sz w:val="26"/>
        </w:rPr>
      </w:pPr>
      <w:r>
        <w:rPr>
          <w:rFonts w:ascii="Arial" w:hAnsi="Arial"/>
          <w:bCs/>
          <w:sz w:val="26"/>
        </w:rPr>
        <w:t>New investments during</w:t>
      </w:r>
      <w:r w:rsidR="00A6644B">
        <w:rPr>
          <w:rFonts w:ascii="Arial" w:hAnsi="Arial"/>
          <w:bCs/>
          <w:sz w:val="26"/>
        </w:rPr>
        <w:t xml:space="preserve"> the period were mostly in FGN Securities (FGN Bonds and Treasury Bills), which accounted for 6</w:t>
      </w:r>
      <w:r w:rsidR="002E38B7">
        <w:rPr>
          <w:rFonts w:ascii="Arial" w:hAnsi="Arial"/>
          <w:bCs/>
          <w:sz w:val="26"/>
        </w:rPr>
        <w:t>7</w:t>
      </w:r>
      <w:r w:rsidR="00A6644B">
        <w:rPr>
          <w:rFonts w:ascii="Arial" w:hAnsi="Arial"/>
          <w:bCs/>
          <w:sz w:val="26"/>
        </w:rPr>
        <w:t>% of total pension fund assets and grew by 1</w:t>
      </w:r>
      <w:r w:rsidR="002E38B7">
        <w:rPr>
          <w:rFonts w:ascii="Arial" w:hAnsi="Arial"/>
          <w:bCs/>
          <w:sz w:val="26"/>
        </w:rPr>
        <w:t>6</w:t>
      </w:r>
      <w:r w:rsidR="00A6644B">
        <w:rPr>
          <w:rFonts w:ascii="Arial" w:hAnsi="Arial"/>
          <w:bCs/>
          <w:sz w:val="26"/>
        </w:rPr>
        <w:t xml:space="preserve">% and </w:t>
      </w:r>
      <w:r w:rsidR="002E38B7">
        <w:rPr>
          <w:rFonts w:ascii="Arial" w:hAnsi="Arial"/>
          <w:bCs/>
          <w:sz w:val="26"/>
        </w:rPr>
        <w:t>3</w:t>
      </w:r>
      <w:r w:rsidR="00A6644B">
        <w:rPr>
          <w:rFonts w:ascii="Arial" w:hAnsi="Arial"/>
          <w:bCs/>
          <w:sz w:val="26"/>
        </w:rPr>
        <w:t xml:space="preserve">1%, respectively due to attractive yields relative to other alternative securities with similar tenors. </w:t>
      </w:r>
      <w:bookmarkStart w:id="0" w:name="_GoBack"/>
      <w:bookmarkEnd w:id="0"/>
    </w:p>
    <w:p w:rsidR="00A6644B" w:rsidRPr="008373E7" w:rsidRDefault="00A6644B" w:rsidP="002E38B7">
      <w:pPr>
        <w:pStyle w:val="ListParagraph"/>
        <w:spacing w:line="360" w:lineRule="auto"/>
        <w:rPr>
          <w:rFonts w:ascii="Arial" w:hAnsi="Arial"/>
          <w:bCs/>
          <w:sz w:val="26"/>
        </w:rPr>
      </w:pPr>
    </w:p>
    <w:p w:rsidR="00057015" w:rsidRDefault="00393DEE" w:rsidP="00ED022B">
      <w:pPr>
        <w:pStyle w:val="ListParagraph"/>
        <w:numPr>
          <w:ilvl w:val="0"/>
          <w:numId w:val="2"/>
        </w:numPr>
        <w:tabs>
          <w:tab w:val="left" w:pos="5580"/>
        </w:tabs>
        <w:spacing w:line="360" w:lineRule="auto"/>
        <w:jc w:val="both"/>
        <w:rPr>
          <w:rFonts w:ascii="Arial" w:hAnsi="Arial"/>
          <w:bCs/>
          <w:sz w:val="26"/>
        </w:rPr>
      </w:pPr>
      <w:r>
        <w:rPr>
          <w:rFonts w:ascii="Arial" w:hAnsi="Arial"/>
          <w:bCs/>
          <w:sz w:val="26"/>
        </w:rPr>
        <w:t>There were fresh</w:t>
      </w:r>
      <w:r w:rsidR="0075196D" w:rsidRPr="00F64A43">
        <w:rPr>
          <w:rFonts w:ascii="Arial" w:hAnsi="Arial"/>
          <w:bCs/>
          <w:sz w:val="26"/>
        </w:rPr>
        <w:t xml:space="preserve">investments in </w:t>
      </w:r>
      <w:r w:rsidR="00A02669" w:rsidRPr="00F64A43">
        <w:rPr>
          <w:rFonts w:ascii="Arial" w:hAnsi="Arial"/>
          <w:bCs/>
          <w:sz w:val="26"/>
        </w:rPr>
        <w:t xml:space="preserve">newly issued </w:t>
      </w:r>
      <w:r w:rsidR="0075196D" w:rsidRPr="00F64A43">
        <w:rPr>
          <w:rFonts w:ascii="Arial" w:hAnsi="Arial"/>
          <w:bCs/>
          <w:sz w:val="26"/>
        </w:rPr>
        <w:t xml:space="preserve">Corporate Bonds </w:t>
      </w:r>
      <w:r w:rsidR="00A02669" w:rsidRPr="00F64A43">
        <w:rPr>
          <w:rFonts w:ascii="Arial" w:hAnsi="Arial"/>
          <w:bCs/>
          <w:sz w:val="26"/>
        </w:rPr>
        <w:t>of Fidelity Bank</w:t>
      </w:r>
      <w:r w:rsidR="00F64A43">
        <w:rPr>
          <w:rFonts w:ascii="Arial" w:hAnsi="Arial"/>
          <w:bCs/>
          <w:sz w:val="26"/>
        </w:rPr>
        <w:t xml:space="preserve"> and N</w:t>
      </w:r>
      <w:r>
        <w:rPr>
          <w:rFonts w:ascii="Arial" w:hAnsi="Arial"/>
          <w:bCs/>
          <w:sz w:val="26"/>
        </w:rPr>
        <w:t xml:space="preserve">igerian Mortgage Refinancing Company (NMRC) </w:t>
      </w:r>
      <w:r w:rsidR="00F64A43">
        <w:rPr>
          <w:rFonts w:ascii="Arial" w:hAnsi="Arial"/>
          <w:bCs/>
          <w:sz w:val="26"/>
        </w:rPr>
        <w:t>Bond.</w:t>
      </w:r>
    </w:p>
    <w:p w:rsidR="00F64A43" w:rsidRPr="00F64A43" w:rsidRDefault="00F64A43" w:rsidP="00F64A43">
      <w:pPr>
        <w:pStyle w:val="ListParagraph"/>
        <w:tabs>
          <w:tab w:val="left" w:pos="5580"/>
        </w:tabs>
        <w:spacing w:line="360" w:lineRule="auto"/>
        <w:jc w:val="both"/>
        <w:rPr>
          <w:rFonts w:ascii="Arial" w:hAnsi="Arial"/>
          <w:bCs/>
          <w:sz w:val="26"/>
        </w:rPr>
      </w:pPr>
    </w:p>
    <w:p w:rsidR="00057015" w:rsidRPr="00057015" w:rsidRDefault="00057015" w:rsidP="00057015">
      <w:pPr>
        <w:tabs>
          <w:tab w:val="left" w:pos="5580"/>
        </w:tabs>
        <w:spacing w:line="360" w:lineRule="auto"/>
        <w:jc w:val="both"/>
        <w:rPr>
          <w:rFonts w:ascii="Arial" w:hAnsi="Arial"/>
          <w:bCs/>
          <w:sz w:val="26"/>
        </w:rPr>
      </w:pPr>
      <w:r w:rsidRPr="00393DEE">
        <w:rPr>
          <w:rFonts w:ascii="Arial" w:hAnsi="Arial"/>
          <w:b/>
          <w:bCs/>
          <w:sz w:val="26"/>
        </w:rPr>
        <w:t xml:space="preserve">Major Challenge: </w:t>
      </w:r>
      <w:r>
        <w:rPr>
          <w:rFonts w:ascii="Arial" w:hAnsi="Arial"/>
          <w:bCs/>
          <w:sz w:val="26"/>
        </w:rPr>
        <w:t>Death of investible products for pension fund investments</w:t>
      </w:r>
    </w:p>
    <w:p w:rsidR="002E38B7" w:rsidRDefault="002E38B7" w:rsidP="002E38B7">
      <w:pPr>
        <w:pStyle w:val="ListParagraph"/>
        <w:tabs>
          <w:tab w:val="left" w:pos="5580"/>
        </w:tabs>
        <w:spacing w:line="360" w:lineRule="auto"/>
        <w:jc w:val="both"/>
        <w:rPr>
          <w:rFonts w:ascii="Arial" w:hAnsi="Arial"/>
          <w:bCs/>
          <w:sz w:val="26"/>
        </w:rPr>
      </w:pPr>
    </w:p>
    <w:p w:rsidR="00A07ECC" w:rsidRPr="00A07ECC" w:rsidRDefault="00A07ECC" w:rsidP="00C343F2">
      <w:pPr>
        <w:pStyle w:val="ListParagraph"/>
        <w:numPr>
          <w:ilvl w:val="0"/>
          <w:numId w:val="1"/>
        </w:numPr>
        <w:spacing w:after="200" w:line="276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A07ECC">
        <w:rPr>
          <w:rFonts w:ascii="Arial" w:hAnsi="Arial" w:cs="Arial"/>
          <w:b/>
          <w:sz w:val="26"/>
          <w:szCs w:val="26"/>
          <w:u w:val="single"/>
        </w:rPr>
        <w:t xml:space="preserve">Draft Amended Investment Regulation </w:t>
      </w:r>
    </w:p>
    <w:p w:rsidR="00A07ECC" w:rsidRDefault="00A07ECC" w:rsidP="0077224A">
      <w:pPr>
        <w:pStyle w:val="ListParagraph"/>
        <w:spacing w:after="200" w:line="360" w:lineRule="auto"/>
        <w:ind w:left="360" w:right="31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C343F2" w:rsidRDefault="008A09A1" w:rsidP="00662C53">
      <w:pPr>
        <w:pStyle w:val="ListParagraph"/>
        <w:spacing w:after="200" w:line="360" w:lineRule="auto"/>
        <w:ind w:left="-90" w:right="310"/>
        <w:jc w:val="both"/>
        <w:rPr>
          <w:rFonts w:ascii="Arial" w:hAnsi="Arial" w:cs="Arial"/>
          <w:iCs/>
          <w:sz w:val="26"/>
          <w:szCs w:val="26"/>
          <w:lang w:val="en-GB"/>
        </w:rPr>
      </w:pPr>
      <w:r w:rsidRPr="00C343F2">
        <w:rPr>
          <w:rFonts w:ascii="Arial" w:hAnsi="Arial" w:cs="Arial"/>
          <w:iCs/>
          <w:sz w:val="26"/>
          <w:szCs w:val="26"/>
          <w:lang w:val="en-GB"/>
        </w:rPr>
        <w:t xml:space="preserve">The </w:t>
      </w:r>
      <w:r>
        <w:rPr>
          <w:rFonts w:ascii="Arial" w:hAnsi="Arial" w:cs="Arial"/>
          <w:iCs/>
          <w:sz w:val="26"/>
          <w:szCs w:val="26"/>
          <w:lang w:val="en-GB"/>
        </w:rPr>
        <w:t>Draft Amended Investment Regulation</w:t>
      </w:r>
      <w:r w:rsidR="0077224A">
        <w:rPr>
          <w:rFonts w:ascii="Arial" w:hAnsi="Arial" w:cs="Arial"/>
          <w:iCs/>
          <w:sz w:val="26"/>
          <w:szCs w:val="26"/>
          <w:lang w:val="en-GB"/>
        </w:rPr>
        <w:t xml:space="preserve"> which includes a MultiFund Structure and Non-Interest Capital Market Products, </w:t>
      </w:r>
      <w:r>
        <w:rPr>
          <w:rFonts w:ascii="Arial" w:hAnsi="Arial" w:cs="Arial"/>
          <w:iCs/>
          <w:sz w:val="26"/>
          <w:szCs w:val="26"/>
          <w:lang w:val="en-GB"/>
        </w:rPr>
        <w:t>is awaiting final approval</w:t>
      </w:r>
      <w:r w:rsidR="0077224A">
        <w:rPr>
          <w:rFonts w:ascii="Arial" w:hAnsi="Arial" w:cs="Arial"/>
          <w:iCs/>
          <w:sz w:val="26"/>
          <w:szCs w:val="26"/>
          <w:lang w:val="en-GB"/>
        </w:rPr>
        <w:t xml:space="preserve"> by the Commission’s Board</w:t>
      </w:r>
      <w:r>
        <w:rPr>
          <w:rFonts w:ascii="Arial" w:hAnsi="Arial" w:cs="Arial"/>
          <w:iCs/>
          <w:sz w:val="26"/>
          <w:szCs w:val="26"/>
          <w:lang w:val="en-GB"/>
        </w:rPr>
        <w:t>, prior to</w:t>
      </w:r>
      <w:r w:rsidR="00B318E4">
        <w:rPr>
          <w:rFonts w:ascii="Arial" w:hAnsi="Arial" w:cs="Arial"/>
          <w:iCs/>
          <w:sz w:val="26"/>
          <w:szCs w:val="26"/>
          <w:lang w:val="en-GB"/>
        </w:rPr>
        <w:t xml:space="preserve"> release. This is expected as soon as the new </w:t>
      </w:r>
      <w:r w:rsidR="0077224A">
        <w:rPr>
          <w:rFonts w:ascii="Arial" w:hAnsi="Arial" w:cs="Arial"/>
          <w:iCs/>
          <w:sz w:val="26"/>
          <w:szCs w:val="26"/>
          <w:lang w:val="en-GB"/>
        </w:rPr>
        <w:t>G</w:t>
      </w:r>
      <w:r w:rsidR="00B318E4">
        <w:rPr>
          <w:rFonts w:ascii="Arial" w:hAnsi="Arial" w:cs="Arial"/>
          <w:iCs/>
          <w:sz w:val="26"/>
          <w:szCs w:val="26"/>
          <w:lang w:val="en-GB"/>
        </w:rPr>
        <w:t xml:space="preserve">overning Board is </w:t>
      </w:r>
      <w:r w:rsidR="0077224A">
        <w:rPr>
          <w:rFonts w:ascii="Arial" w:hAnsi="Arial" w:cs="Arial"/>
          <w:iCs/>
          <w:sz w:val="26"/>
          <w:szCs w:val="26"/>
          <w:lang w:val="en-GB"/>
        </w:rPr>
        <w:t>re-</w:t>
      </w:r>
      <w:r w:rsidR="00B318E4">
        <w:rPr>
          <w:rFonts w:ascii="Arial" w:hAnsi="Arial" w:cs="Arial"/>
          <w:iCs/>
          <w:sz w:val="26"/>
          <w:szCs w:val="26"/>
          <w:lang w:val="en-GB"/>
        </w:rPr>
        <w:t>constituted</w:t>
      </w:r>
      <w:r w:rsidR="0077224A">
        <w:rPr>
          <w:rFonts w:ascii="Arial" w:hAnsi="Arial" w:cs="Arial"/>
          <w:iCs/>
          <w:sz w:val="26"/>
          <w:szCs w:val="26"/>
          <w:lang w:val="en-GB"/>
        </w:rPr>
        <w:t xml:space="preserve"> by Mr President</w:t>
      </w:r>
      <w:r w:rsidR="00B318E4">
        <w:rPr>
          <w:rFonts w:ascii="Arial" w:hAnsi="Arial" w:cs="Arial"/>
          <w:iCs/>
          <w:sz w:val="26"/>
          <w:szCs w:val="26"/>
          <w:lang w:val="en-GB"/>
        </w:rPr>
        <w:t xml:space="preserve">. </w:t>
      </w:r>
    </w:p>
    <w:p w:rsidR="00C343F2" w:rsidRDefault="00C343F2" w:rsidP="0077224A">
      <w:pPr>
        <w:pStyle w:val="ListParagraph"/>
        <w:spacing w:after="200" w:line="360" w:lineRule="auto"/>
        <w:ind w:left="360" w:right="310"/>
        <w:jc w:val="both"/>
        <w:rPr>
          <w:rFonts w:ascii="Arial" w:hAnsi="Arial" w:cs="Arial"/>
          <w:sz w:val="26"/>
          <w:szCs w:val="26"/>
        </w:rPr>
      </w:pPr>
    </w:p>
    <w:p w:rsidR="009611B0" w:rsidRPr="00231A04" w:rsidRDefault="00682706" w:rsidP="00D23BC6">
      <w:pPr>
        <w:pStyle w:val="ListParagraph"/>
        <w:numPr>
          <w:ilvl w:val="0"/>
          <w:numId w:val="1"/>
        </w:numPr>
        <w:spacing w:after="200" w:line="276" w:lineRule="auto"/>
        <w:ind w:hanging="720"/>
        <w:jc w:val="both"/>
        <w:rPr>
          <w:rFonts w:ascii="Arial" w:hAnsi="Arial" w:cs="Arial"/>
          <w:sz w:val="26"/>
          <w:szCs w:val="26"/>
          <w:u w:val="single"/>
        </w:rPr>
      </w:pPr>
      <w:r w:rsidRPr="00231A04">
        <w:rPr>
          <w:rFonts w:ascii="Arial" w:hAnsi="Arial" w:cs="Arial"/>
          <w:b/>
          <w:sz w:val="26"/>
          <w:szCs w:val="26"/>
          <w:u w:val="single"/>
        </w:rPr>
        <w:t xml:space="preserve">Guidelines on Accessing RSA Balances for </w:t>
      </w:r>
      <w:r w:rsidR="003918CF">
        <w:rPr>
          <w:rFonts w:ascii="Arial" w:hAnsi="Arial" w:cs="Arial"/>
          <w:b/>
          <w:sz w:val="26"/>
          <w:szCs w:val="26"/>
          <w:u w:val="single"/>
        </w:rPr>
        <w:t xml:space="preserve">Residential </w:t>
      </w:r>
      <w:r w:rsidR="005D5B28" w:rsidRPr="00231A04">
        <w:rPr>
          <w:rFonts w:ascii="Arial" w:hAnsi="Arial" w:cs="Arial"/>
          <w:b/>
          <w:sz w:val="26"/>
          <w:szCs w:val="26"/>
          <w:u w:val="single"/>
        </w:rPr>
        <w:t xml:space="preserve">Mortgage </w:t>
      </w:r>
    </w:p>
    <w:p w:rsidR="00682706" w:rsidRPr="00A07ECC" w:rsidRDefault="00682706" w:rsidP="009F155A">
      <w:pPr>
        <w:pStyle w:val="ListParagraph"/>
        <w:ind w:left="1080" w:right="310"/>
        <w:jc w:val="both"/>
        <w:rPr>
          <w:rFonts w:ascii="Arial" w:hAnsi="Arial" w:cs="Arial"/>
          <w:color w:val="FF0000"/>
          <w:sz w:val="26"/>
          <w:szCs w:val="26"/>
        </w:rPr>
      </w:pPr>
    </w:p>
    <w:p w:rsidR="00E163C3" w:rsidRDefault="00C343F2" w:rsidP="00662C53">
      <w:pPr>
        <w:pStyle w:val="ListParagraph"/>
        <w:spacing w:line="360" w:lineRule="auto"/>
        <w:ind w:left="0" w:right="310"/>
        <w:jc w:val="both"/>
        <w:rPr>
          <w:rFonts w:ascii="Arial" w:hAnsi="Arial"/>
          <w:bCs/>
          <w:sz w:val="26"/>
          <w:lang w:val="en-GB"/>
        </w:rPr>
      </w:pPr>
      <w:r w:rsidRPr="00C343F2">
        <w:rPr>
          <w:rFonts w:ascii="Arial" w:hAnsi="Arial"/>
          <w:bCs/>
          <w:sz w:val="26"/>
          <w:lang w:val="en-GB"/>
        </w:rPr>
        <w:t xml:space="preserve">The Draft Guidelines </w:t>
      </w:r>
      <w:r w:rsidRPr="00C343F2">
        <w:rPr>
          <w:rFonts w:ascii="Arial" w:hAnsi="Arial"/>
          <w:bCs/>
          <w:sz w:val="26"/>
        </w:rPr>
        <w:t xml:space="preserve">on Accessing </w:t>
      </w:r>
      <w:r w:rsidR="00B318E4">
        <w:rPr>
          <w:rFonts w:ascii="Arial" w:hAnsi="Arial"/>
          <w:bCs/>
          <w:sz w:val="26"/>
        </w:rPr>
        <w:t>Retirement Savings Accounts (</w:t>
      </w:r>
      <w:r w:rsidRPr="00C343F2">
        <w:rPr>
          <w:rFonts w:ascii="Arial" w:hAnsi="Arial"/>
          <w:bCs/>
          <w:sz w:val="26"/>
        </w:rPr>
        <w:t>RSAs</w:t>
      </w:r>
      <w:r w:rsidR="00B318E4">
        <w:rPr>
          <w:rFonts w:ascii="Arial" w:hAnsi="Arial"/>
          <w:bCs/>
          <w:sz w:val="26"/>
        </w:rPr>
        <w:t>)</w:t>
      </w:r>
      <w:r w:rsidRPr="00C343F2">
        <w:rPr>
          <w:rFonts w:ascii="Arial" w:hAnsi="Arial"/>
          <w:bCs/>
          <w:sz w:val="26"/>
        </w:rPr>
        <w:t xml:space="preserve"> for Payment</w:t>
      </w:r>
      <w:r w:rsidRPr="00C343F2">
        <w:rPr>
          <w:rFonts w:ascii="Arial" w:hAnsi="Arial"/>
          <w:bCs/>
          <w:iCs/>
          <w:sz w:val="26"/>
          <w:lang w:val="en-GB"/>
        </w:rPr>
        <w:t xml:space="preserve"> of Equity Contribution</w:t>
      </w:r>
      <w:r w:rsidR="00B318E4">
        <w:rPr>
          <w:rFonts w:ascii="Arial" w:hAnsi="Arial"/>
          <w:bCs/>
          <w:sz w:val="26"/>
        </w:rPr>
        <w:t>towards</w:t>
      </w:r>
      <w:r w:rsidRPr="00C343F2">
        <w:rPr>
          <w:rFonts w:ascii="Arial" w:hAnsi="Arial"/>
          <w:bCs/>
          <w:sz w:val="26"/>
        </w:rPr>
        <w:t xml:space="preserve"> Residential Mortgage</w:t>
      </w:r>
      <w:r w:rsidRPr="00C343F2">
        <w:rPr>
          <w:rFonts w:ascii="Arial" w:hAnsi="Arial"/>
          <w:bCs/>
          <w:sz w:val="26"/>
          <w:lang w:val="en-GB"/>
        </w:rPr>
        <w:t xml:space="preserve"> was exposed to relevant stakeholders for feedback </w:t>
      </w:r>
      <w:r w:rsidR="00F43EBF" w:rsidRPr="00C343F2">
        <w:rPr>
          <w:rFonts w:ascii="Arial" w:hAnsi="Arial"/>
          <w:bCs/>
          <w:sz w:val="26"/>
          <w:lang w:val="en-GB"/>
        </w:rPr>
        <w:t>comments</w:t>
      </w:r>
      <w:r w:rsidR="00F43EBF">
        <w:rPr>
          <w:rFonts w:ascii="Arial" w:hAnsi="Arial"/>
          <w:bCs/>
          <w:sz w:val="26"/>
          <w:lang w:val="en-GB"/>
        </w:rPr>
        <w:t>. The</w:t>
      </w:r>
      <w:r w:rsidR="009F155A">
        <w:rPr>
          <w:rFonts w:ascii="Arial" w:hAnsi="Arial"/>
          <w:bCs/>
          <w:sz w:val="26"/>
          <w:lang w:val="en-GB"/>
        </w:rPr>
        <w:t xml:space="preserve">feedback comments </w:t>
      </w:r>
      <w:r>
        <w:rPr>
          <w:rFonts w:ascii="Arial" w:hAnsi="Arial"/>
          <w:bCs/>
          <w:sz w:val="26"/>
          <w:lang w:val="en-GB"/>
        </w:rPr>
        <w:t xml:space="preserve">are currently being reviewed </w:t>
      </w:r>
      <w:r w:rsidR="00B318E4">
        <w:rPr>
          <w:rFonts w:ascii="Arial" w:hAnsi="Arial"/>
          <w:bCs/>
          <w:sz w:val="26"/>
          <w:lang w:val="en-GB"/>
        </w:rPr>
        <w:t>by the Commission</w:t>
      </w:r>
      <w:r w:rsidR="0077224A">
        <w:rPr>
          <w:rFonts w:ascii="Arial" w:hAnsi="Arial"/>
          <w:bCs/>
          <w:sz w:val="26"/>
          <w:lang w:val="en-GB"/>
        </w:rPr>
        <w:t>,</w:t>
      </w:r>
      <w:r w:rsidR="009F155A">
        <w:rPr>
          <w:rFonts w:ascii="Arial" w:hAnsi="Arial"/>
          <w:bCs/>
          <w:sz w:val="26"/>
          <w:lang w:val="en-GB"/>
        </w:rPr>
        <w:t xml:space="preserve"> prior to </w:t>
      </w:r>
      <w:r w:rsidR="0077224A">
        <w:rPr>
          <w:rFonts w:ascii="Arial" w:hAnsi="Arial"/>
          <w:bCs/>
          <w:sz w:val="26"/>
          <w:lang w:val="en-GB"/>
        </w:rPr>
        <w:t xml:space="preserve">the required Board approval and </w:t>
      </w:r>
      <w:r w:rsidR="00057015">
        <w:rPr>
          <w:rFonts w:ascii="Arial" w:hAnsi="Arial"/>
          <w:bCs/>
          <w:sz w:val="26"/>
          <w:lang w:val="en-GB"/>
        </w:rPr>
        <w:t>its subsequent release</w:t>
      </w:r>
      <w:r>
        <w:rPr>
          <w:rFonts w:ascii="Arial" w:hAnsi="Arial"/>
          <w:bCs/>
          <w:sz w:val="26"/>
          <w:lang w:val="en-GB"/>
        </w:rPr>
        <w:t xml:space="preserve">. </w:t>
      </w:r>
    </w:p>
    <w:p w:rsidR="00F43EBF" w:rsidRDefault="00F43EBF" w:rsidP="00F43EBF">
      <w:pPr>
        <w:pStyle w:val="ListParagraph"/>
        <w:numPr>
          <w:ilvl w:val="0"/>
          <w:numId w:val="1"/>
        </w:numPr>
        <w:spacing w:after="200" w:line="276" w:lineRule="auto"/>
        <w:ind w:hanging="720"/>
        <w:jc w:val="both"/>
        <w:rPr>
          <w:rFonts w:ascii="Arial" w:hAnsi="Arial"/>
          <w:bCs/>
          <w:sz w:val="26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 xml:space="preserve">Establishment of </w:t>
      </w:r>
      <w:r w:rsidRPr="00F43EBF">
        <w:rPr>
          <w:rFonts w:ascii="Arial" w:hAnsi="Arial" w:cs="Arial"/>
          <w:b/>
          <w:sz w:val="26"/>
          <w:szCs w:val="26"/>
          <w:u w:val="single"/>
        </w:rPr>
        <w:t xml:space="preserve">Product Review Committee </w:t>
      </w:r>
    </w:p>
    <w:p w:rsidR="00591C34" w:rsidRDefault="00F43EBF" w:rsidP="00591C34">
      <w:pPr>
        <w:spacing w:line="360" w:lineRule="auto"/>
        <w:ind w:right="310"/>
        <w:jc w:val="both"/>
        <w:rPr>
          <w:rFonts w:ascii="Arial" w:hAnsi="Arial"/>
          <w:bCs/>
          <w:sz w:val="26"/>
        </w:rPr>
      </w:pPr>
      <w:r>
        <w:rPr>
          <w:rFonts w:ascii="Arial" w:hAnsi="Arial"/>
          <w:bCs/>
          <w:sz w:val="26"/>
        </w:rPr>
        <w:t xml:space="preserve">The Commission is working </w:t>
      </w:r>
      <w:r w:rsidR="0077224A">
        <w:rPr>
          <w:rFonts w:ascii="Arial" w:hAnsi="Arial"/>
          <w:bCs/>
          <w:sz w:val="26"/>
        </w:rPr>
        <w:t>at</w:t>
      </w:r>
      <w:r w:rsidR="0077224A" w:rsidRPr="00F43EBF">
        <w:rPr>
          <w:rFonts w:ascii="Arial" w:hAnsi="Arial"/>
          <w:bCs/>
          <w:sz w:val="26"/>
        </w:rPr>
        <w:t xml:space="preserve"> establis</w:t>
      </w:r>
      <w:r w:rsidR="0077224A">
        <w:rPr>
          <w:rFonts w:ascii="Arial" w:hAnsi="Arial"/>
          <w:bCs/>
          <w:sz w:val="26"/>
        </w:rPr>
        <w:t>hing</w:t>
      </w:r>
      <w:r w:rsidRPr="00F43EBF">
        <w:rPr>
          <w:rFonts w:ascii="Arial" w:hAnsi="Arial"/>
          <w:bCs/>
          <w:sz w:val="26"/>
        </w:rPr>
        <w:t xml:space="preserve"> a </w:t>
      </w:r>
      <w:r w:rsidR="00B318E4">
        <w:rPr>
          <w:rFonts w:ascii="Arial" w:hAnsi="Arial"/>
          <w:bCs/>
          <w:sz w:val="26"/>
        </w:rPr>
        <w:t xml:space="preserve">Product </w:t>
      </w:r>
      <w:r w:rsidR="00632449">
        <w:rPr>
          <w:rFonts w:ascii="Arial" w:hAnsi="Arial"/>
          <w:bCs/>
          <w:sz w:val="26"/>
        </w:rPr>
        <w:t xml:space="preserve">Review </w:t>
      </w:r>
      <w:r w:rsidR="00B318E4">
        <w:rPr>
          <w:rFonts w:ascii="Arial" w:hAnsi="Arial"/>
          <w:bCs/>
          <w:sz w:val="26"/>
        </w:rPr>
        <w:t>Committee</w:t>
      </w:r>
      <w:r w:rsidR="0077224A">
        <w:rPr>
          <w:rFonts w:ascii="Arial" w:hAnsi="Arial"/>
          <w:bCs/>
          <w:sz w:val="26"/>
        </w:rPr>
        <w:t xml:space="preserve">, comprising </w:t>
      </w:r>
      <w:r w:rsidR="00057015">
        <w:rPr>
          <w:rFonts w:ascii="Arial" w:hAnsi="Arial"/>
          <w:bCs/>
          <w:sz w:val="26"/>
        </w:rPr>
        <w:t xml:space="preserve">of </w:t>
      </w:r>
      <w:r w:rsidR="0077224A">
        <w:rPr>
          <w:rFonts w:ascii="Arial" w:hAnsi="Arial"/>
          <w:bCs/>
          <w:sz w:val="26"/>
        </w:rPr>
        <w:t xml:space="preserve">some </w:t>
      </w:r>
      <w:r w:rsidRPr="00F43EBF">
        <w:rPr>
          <w:rFonts w:ascii="Arial" w:hAnsi="Arial"/>
          <w:bCs/>
          <w:sz w:val="26"/>
        </w:rPr>
        <w:t>sta</w:t>
      </w:r>
      <w:r w:rsidR="00B318E4">
        <w:rPr>
          <w:rFonts w:ascii="Arial" w:hAnsi="Arial"/>
          <w:bCs/>
          <w:sz w:val="26"/>
        </w:rPr>
        <w:t xml:space="preserve">keholders such as </w:t>
      </w:r>
      <w:r w:rsidR="0077224A">
        <w:rPr>
          <w:rFonts w:ascii="Arial" w:hAnsi="Arial"/>
          <w:bCs/>
          <w:sz w:val="26"/>
        </w:rPr>
        <w:t xml:space="preserve">CBN, </w:t>
      </w:r>
      <w:r w:rsidR="00B318E4">
        <w:rPr>
          <w:rFonts w:ascii="Arial" w:hAnsi="Arial"/>
          <w:bCs/>
          <w:sz w:val="26"/>
        </w:rPr>
        <w:t xml:space="preserve">SEC, DMO, </w:t>
      </w:r>
      <w:r w:rsidR="0077224A">
        <w:rPr>
          <w:rFonts w:ascii="Arial" w:hAnsi="Arial"/>
          <w:bCs/>
          <w:sz w:val="26"/>
        </w:rPr>
        <w:t>Capital Market Operators</w:t>
      </w:r>
      <w:r w:rsidR="00B318E4">
        <w:rPr>
          <w:rFonts w:ascii="Arial" w:hAnsi="Arial"/>
          <w:bCs/>
          <w:sz w:val="26"/>
        </w:rPr>
        <w:t xml:space="preserve">, </w:t>
      </w:r>
      <w:r w:rsidR="00174E04">
        <w:rPr>
          <w:rFonts w:ascii="Arial" w:hAnsi="Arial"/>
          <w:bCs/>
          <w:sz w:val="26"/>
        </w:rPr>
        <w:t xml:space="preserve">and </w:t>
      </w:r>
      <w:r w:rsidR="00B318E4">
        <w:rPr>
          <w:rFonts w:ascii="Arial" w:hAnsi="Arial"/>
          <w:bCs/>
          <w:sz w:val="26"/>
        </w:rPr>
        <w:t>Pension Operators</w:t>
      </w:r>
      <w:r w:rsidR="00174E04">
        <w:rPr>
          <w:rFonts w:ascii="Arial" w:hAnsi="Arial"/>
          <w:bCs/>
          <w:sz w:val="26"/>
        </w:rPr>
        <w:t xml:space="preserve">.The main objective of the Committee shall be to </w:t>
      </w:r>
      <w:r w:rsidR="003C5388">
        <w:rPr>
          <w:rFonts w:ascii="Arial" w:hAnsi="Arial"/>
          <w:bCs/>
          <w:sz w:val="26"/>
        </w:rPr>
        <w:t>liaise</w:t>
      </w:r>
      <w:r w:rsidR="00174E04">
        <w:rPr>
          <w:rFonts w:ascii="Arial" w:hAnsi="Arial"/>
          <w:bCs/>
          <w:sz w:val="26"/>
        </w:rPr>
        <w:t xml:space="preserve"> /work with the pension industry, in the development of </w:t>
      </w:r>
      <w:r w:rsidR="003C5388">
        <w:rPr>
          <w:rFonts w:ascii="Arial" w:hAnsi="Arial"/>
          <w:bCs/>
          <w:sz w:val="26"/>
        </w:rPr>
        <w:t>investible products</w:t>
      </w:r>
      <w:r w:rsidR="00174E04">
        <w:rPr>
          <w:rFonts w:ascii="Arial" w:hAnsi="Arial"/>
          <w:bCs/>
          <w:sz w:val="26"/>
        </w:rPr>
        <w:t xml:space="preserve"> that </w:t>
      </w:r>
      <w:r w:rsidR="00057015">
        <w:rPr>
          <w:rFonts w:ascii="Arial" w:hAnsi="Arial"/>
          <w:bCs/>
          <w:sz w:val="26"/>
        </w:rPr>
        <w:t xml:space="preserve">would </w:t>
      </w:r>
      <w:r w:rsidR="00174E04">
        <w:rPr>
          <w:rFonts w:ascii="Arial" w:hAnsi="Arial"/>
          <w:bCs/>
          <w:sz w:val="26"/>
        </w:rPr>
        <w:t xml:space="preserve">satisfy the minimum </w:t>
      </w:r>
      <w:r w:rsidR="00F0120D">
        <w:rPr>
          <w:rFonts w:ascii="Arial" w:hAnsi="Arial"/>
          <w:bCs/>
          <w:sz w:val="26"/>
        </w:rPr>
        <w:t xml:space="preserve">quality </w:t>
      </w:r>
      <w:r w:rsidR="00057015">
        <w:rPr>
          <w:rFonts w:ascii="Arial" w:hAnsi="Arial"/>
          <w:bCs/>
          <w:sz w:val="26"/>
        </w:rPr>
        <w:t>requirements</w:t>
      </w:r>
      <w:r w:rsidR="003C5388">
        <w:rPr>
          <w:rFonts w:ascii="Arial" w:hAnsi="Arial"/>
          <w:bCs/>
          <w:sz w:val="26"/>
        </w:rPr>
        <w:t xml:space="preserve"> for pension fund investments. This will accelerate the </w:t>
      </w:r>
      <w:r w:rsidR="00F0120D">
        <w:rPr>
          <w:rFonts w:ascii="Arial" w:hAnsi="Arial"/>
          <w:bCs/>
          <w:sz w:val="26"/>
        </w:rPr>
        <w:t>effective development</w:t>
      </w:r>
      <w:r w:rsidR="003C5388">
        <w:rPr>
          <w:rFonts w:ascii="Arial" w:hAnsi="Arial"/>
          <w:bCs/>
          <w:sz w:val="26"/>
        </w:rPr>
        <w:t xml:space="preserve"> of the pension assets </w:t>
      </w:r>
      <w:r w:rsidR="00F0120D">
        <w:rPr>
          <w:rFonts w:ascii="Arial" w:hAnsi="Arial"/>
          <w:bCs/>
          <w:sz w:val="26"/>
        </w:rPr>
        <w:t>to critical</w:t>
      </w:r>
      <w:r w:rsidR="002F02E1">
        <w:rPr>
          <w:rFonts w:ascii="Arial" w:hAnsi="Arial"/>
          <w:bCs/>
          <w:sz w:val="26"/>
        </w:rPr>
        <w:t xml:space="preserve"> sectors </w:t>
      </w:r>
      <w:r w:rsidR="00057015">
        <w:rPr>
          <w:rFonts w:ascii="Arial" w:hAnsi="Arial"/>
          <w:bCs/>
          <w:sz w:val="26"/>
        </w:rPr>
        <w:t xml:space="preserve">of the economy, </w:t>
      </w:r>
      <w:r w:rsidR="002F02E1">
        <w:rPr>
          <w:rFonts w:ascii="Arial" w:hAnsi="Arial"/>
          <w:bCs/>
          <w:sz w:val="26"/>
        </w:rPr>
        <w:t xml:space="preserve">such as Infrastructure and Real Estate.  </w:t>
      </w:r>
    </w:p>
    <w:p w:rsidR="00516EEF" w:rsidRPr="00A05488" w:rsidRDefault="00516EEF" w:rsidP="0077224A">
      <w:pPr>
        <w:pStyle w:val="ListParagraph"/>
        <w:spacing w:line="360" w:lineRule="auto"/>
        <w:ind w:left="1080" w:right="310"/>
        <w:jc w:val="both"/>
        <w:rPr>
          <w:rFonts w:ascii="Arial" w:hAnsi="Arial" w:cs="Arial"/>
          <w:b/>
          <w:color w:val="FF0000"/>
          <w:sz w:val="26"/>
          <w:szCs w:val="26"/>
          <w:u w:val="single"/>
        </w:rPr>
      </w:pPr>
    </w:p>
    <w:p w:rsidR="00484417" w:rsidRPr="006C03A1" w:rsidRDefault="008B369A" w:rsidP="005D5B28">
      <w:pPr>
        <w:pStyle w:val="ListParagraph"/>
        <w:spacing w:after="200" w:line="276" w:lineRule="auto"/>
        <w:ind w:left="1440" w:right="310" w:hanging="1440"/>
        <w:jc w:val="both"/>
        <w:rPr>
          <w:rFonts w:ascii="Arial" w:hAnsi="Arial" w:cs="Arial"/>
          <w:bCs/>
          <w:sz w:val="26"/>
          <w:szCs w:val="26"/>
        </w:rPr>
      </w:pPr>
      <w:r w:rsidRPr="006C03A1">
        <w:rPr>
          <w:rFonts w:ascii="Arial" w:hAnsi="Arial"/>
          <w:bCs/>
          <w:sz w:val="26"/>
        </w:rPr>
        <w:t>Thank you</w:t>
      </w:r>
    </w:p>
    <w:p w:rsidR="00C021BF" w:rsidRDefault="00C021BF" w:rsidP="0077224A">
      <w:pPr>
        <w:tabs>
          <w:tab w:val="left" w:pos="5580"/>
        </w:tabs>
        <w:spacing w:line="360" w:lineRule="auto"/>
        <w:jc w:val="both"/>
        <w:rPr>
          <w:rFonts w:ascii="Arial" w:hAnsi="Arial" w:cs="Arial"/>
          <w:noProof/>
          <w:sz w:val="26"/>
          <w:szCs w:val="26"/>
        </w:rPr>
      </w:pPr>
    </w:p>
    <w:p w:rsidR="00B318E4" w:rsidRDefault="00B318E4" w:rsidP="0077224A">
      <w:pPr>
        <w:tabs>
          <w:tab w:val="left" w:pos="5580"/>
        </w:tabs>
        <w:spacing w:line="360" w:lineRule="auto"/>
        <w:jc w:val="both"/>
        <w:rPr>
          <w:rFonts w:ascii="Arial" w:hAnsi="Arial" w:cs="Arial"/>
          <w:noProof/>
          <w:sz w:val="26"/>
          <w:szCs w:val="26"/>
        </w:rPr>
      </w:pPr>
    </w:p>
    <w:p w:rsidR="00F94F95" w:rsidRPr="00484417" w:rsidRDefault="008C3F48" w:rsidP="005D5B28">
      <w:pPr>
        <w:tabs>
          <w:tab w:val="left" w:pos="5580"/>
        </w:tabs>
        <w:spacing w:line="276" w:lineRule="auto"/>
        <w:jc w:val="both"/>
        <w:rPr>
          <w:rFonts w:ascii="Arial" w:hAnsi="Arial"/>
          <w:bCs/>
          <w:sz w:val="26"/>
        </w:rPr>
      </w:pPr>
      <w:r>
        <w:rPr>
          <w:rFonts w:ascii="Arial" w:hAnsi="Arial"/>
          <w:b/>
          <w:bCs/>
          <w:sz w:val="26"/>
        </w:rPr>
        <w:t>Ehimeme Ohioma</w:t>
      </w:r>
    </w:p>
    <w:sectPr w:rsidR="00F94F95" w:rsidRPr="00484417" w:rsidSect="00C16377">
      <w:headerReference w:type="default" r:id="rId9"/>
      <w:footerReference w:type="default" r:id="rId10"/>
      <w:pgSz w:w="12240" w:h="15840"/>
      <w:pgMar w:top="180" w:right="1350" w:bottom="0" w:left="1080" w:header="720" w:footer="7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0C" w:rsidRDefault="00E9000C" w:rsidP="009108CA">
      <w:r>
        <w:separator/>
      </w:r>
    </w:p>
  </w:endnote>
  <w:endnote w:type="continuationSeparator" w:id="0">
    <w:p w:rsidR="00E9000C" w:rsidRDefault="00E9000C" w:rsidP="00910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590927"/>
      <w:docPartObj>
        <w:docPartGallery w:val="Page Numbers (Bottom of Page)"/>
        <w:docPartUnique/>
      </w:docPartObj>
    </w:sdtPr>
    <w:sdtContent>
      <w:p w:rsidR="00FC36FB" w:rsidRDefault="002B5884">
        <w:pPr>
          <w:pStyle w:val="Footer"/>
          <w:jc w:val="right"/>
        </w:pPr>
        <w:r>
          <w:fldChar w:fldCharType="begin"/>
        </w:r>
        <w:r w:rsidR="005A74D3">
          <w:instrText xml:space="preserve"> PAGE   \* MERGEFORMAT </w:instrText>
        </w:r>
        <w:r>
          <w:fldChar w:fldCharType="separate"/>
        </w:r>
        <w:r w:rsidR="007B7A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6FB" w:rsidRDefault="00FC36FB" w:rsidP="003C3F48">
    <w:pPr>
      <w:pStyle w:val="Footer"/>
      <w:tabs>
        <w:tab w:val="clear" w:pos="4680"/>
        <w:tab w:val="clear" w:pos="9360"/>
        <w:tab w:val="left" w:pos="32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0C" w:rsidRDefault="00E9000C" w:rsidP="009108CA">
      <w:r>
        <w:separator/>
      </w:r>
    </w:p>
  </w:footnote>
  <w:footnote w:type="continuationSeparator" w:id="0">
    <w:p w:rsidR="00E9000C" w:rsidRDefault="00E9000C" w:rsidP="00910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FB" w:rsidRDefault="00FC36FB">
    <w:pPr>
      <w:pStyle w:val="Header"/>
    </w:pPr>
  </w:p>
  <w:p w:rsidR="00FC36FB" w:rsidRDefault="00FC36FB">
    <w:pPr>
      <w:pStyle w:val="Header"/>
    </w:pPr>
  </w:p>
  <w:p w:rsidR="00FC36FB" w:rsidRDefault="00FC36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034"/>
    <w:multiLevelType w:val="hybridMultilevel"/>
    <w:tmpl w:val="EAA45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84C18"/>
    <w:multiLevelType w:val="hybridMultilevel"/>
    <w:tmpl w:val="19624E6E"/>
    <w:lvl w:ilvl="0" w:tplc="DC265646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00205"/>
    <w:multiLevelType w:val="hybridMultilevel"/>
    <w:tmpl w:val="6144E3D4"/>
    <w:lvl w:ilvl="0" w:tplc="F47258DE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2F55BF"/>
    <w:multiLevelType w:val="hybridMultilevel"/>
    <w:tmpl w:val="EA2EAF3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F83777"/>
    <w:multiLevelType w:val="multilevel"/>
    <w:tmpl w:val="349A7600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4AF41C6"/>
    <w:multiLevelType w:val="hybridMultilevel"/>
    <w:tmpl w:val="A6B29314"/>
    <w:lvl w:ilvl="0" w:tplc="CCE637EE">
      <w:start w:val="1"/>
      <w:numFmt w:val="lowerRoman"/>
      <w:lvlText w:val="%1."/>
      <w:lvlJc w:val="righ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9339B"/>
    <w:multiLevelType w:val="hybridMultilevel"/>
    <w:tmpl w:val="FE826C1A"/>
    <w:lvl w:ilvl="0" w:tplc="9E440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799"/>
    <w:multiLevelType w:val="multilevel"/>
    <w:tmpl w:val="6EBEF768"/>
    <w:lvl w:ilvl="0">
      <w:start w:val="1"/>
      <w:numFmt w:val="decimal"/>
      <w:lvlText w:val="%1.0"/>
      <w:lvlJc w:val="left"/>
      <w:pPr>
        <w:ind w:left="387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EA9798C"/>
    <w:multiLevelType w:val="hybridMultilevel"/>
    <w:tmpl w:val="7AE2A6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87A3B"/>
    <w:multiLevelType w:val="hybridMultilevel"/>
    <w:tmpl w:val="E5BAD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2824B3"/>
    <w:multiLevelType w:val="hybridMultilevel"/>
    <w:tmpl w:val="305245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B00A90"/>
    <w:multiLevelType w:val="multilevel"/>
    <w:tmpl w:val="37EE28E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2">
    <w:nsid w:val="21D8130A"/>
    <w:multiLevelType w:val="hybridMultilevel"/>
    <w:tmpl w:val="FE826C1A"/>
    <w:lvl w:ilvl="0" w:tplc="9E440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C34BD"/>
    <w:multiLevelType w:val="hybridMultilevel"/>
    <w:tmpl w:val="EA2EAF3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65F311F"/>
    <w:multiLevelType w:val="hybridMultilevel"/>
    <w:tmpl w:val="9064AFF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2D190B"/>
    <w:multiLevelType w:val="hybridMultilevel"/>
    <w:tmpl w:val="BEF8A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75F2457"/>
    <w:multiLevelType w:val="hybridMultilevel"/>
    <w:tmpl w:val="A7643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08E06C6"/>
    <w:multiLevelType w:val="hybridMultilevel"/>
    <w:tmpl w:val="2E98D17C"/>
    <w:lvl w:ilvl="0" w:tplc="1344908E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83EE4"/>
    <w:multiLevelType w:val="multilevel"/>
    <w:tmpl w:val="0C989F0A"/>
    <w:lvl w:ilvl="0">
      <w:start w:val="2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9">
    <w:nsid w:val="38D62091"/>
    <w:multiLevelType w:val="hybridMultilevel"/>
    <w:tmpl w:val="10C21E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36D6509"/>
    <w:multiLevelType w:val="hybridMultilevel"/>
    <w:tmpl w:val="A118BF4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DE21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E4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A9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6B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66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44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66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6B007D4"/>
    <w:multiLevelType w:val="hybridMultilevel"/>
    <w:tmpl w:val="0E88B272"/>
    <w:lvl w:ilvl="0" w:tplc="75FA6D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F1203"/>
    <w:multiLevelType w:val="hybridMultilevel"/>
    <w:tmpl w:val="3C2A69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4A3581"/>
    <w:multiLevelType w:val="hybridMultilevel"/>
    <w:tmpl w:val="AF9451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66286"/>
    <w:multiLevelType w:val="hybridMultilevel"/>
    <w:tmpl w:val="4508B818"/>
    <w:lvl w:ilvl="0" w:tplc="4126D48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A1321"/>
    <w:multiLevelType w:val="hybridMultilevel"/>
    <w:tmpl w:val="3C2A693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AB4757"/>
    <w:multiLevelType w:val="hybridMultilevel"/>
    <w:tmpl w:val="D6CCEB36"/>
    <w:lvl w:ilvl="0" w:tplc="7550125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D2261"/>
    <w:multiLevelType w:val="hybridMultilevel"/>
    <w:tmpl w:val="9F9C9DBA"/>
    <w:lvl w:ilvl="0" w:tplc="595EC48C">
      <w:start w:val="1"/>
      <w:numFmt w:val="lowerRoman"/>
      <w:lvlText w:val="%1."/>
      <w:lvlJc w:val="left"/>
      <w:pPr>
        <w:ind w:left="90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26"/>
  </w:num>
  <w:num w:numId="5">
    <w:abstractNumId w:val="4"/>
  </w:num>
  <w:num w:numId="6">
    <w:abstractNumId w:val="27"/>
  </w:num>
  <w:num w:numId="7">
    <w:abstractNumId w:val="21"/>
  </w:num>
  <w:num w:numId="8">
    <w:abstractNumId w:val="9"/>
  </w:num>
  <w:num w:numId="9">
    <w:abstractNumId w:val="1"/>
  </w:num>
  <w:num w:numId="10">
    <w:abstractNumId w:val="14"/>
  </w:num>
  <w:num w:numId="11">
    <w:abstractNumId w:val="2"/>
  </w:num>
  <w:num w:numId="12">
    <w:abstractNumId w:val="25"/>
  </w:num>
  <w:num w:numId="13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7"/>
  </w:num>
  <w:num w:numId="19">
    <w:abstractNumId w:val="6"/>
  </w:num>
  <w:num w:numId="20">
    <w:abstractNumId w:val="24"/>
  </w:num>
  <w:num w:numId="21">
    <w:abstractNumId w:val="0"/>
  </w:num>
  <w:num w:numId="22">
    <w:abstractNumId w:val="3"/>
  </w:num>
  <w:num w:numId="23">
    <w:abstractNumId w:val="15"/>
  </w:num>
  <w:num w:numId="24">
    <w:abstractNumId w:val="16"/>
  </w:num>
  <w:num w:numId="25">
    <w:abstractNumId w:val="13"/>
  </w:num>
  <w:num w:numId="26">
    <w:abstractNumId w:val="10"/>
  </w:num>
  <w:num w:numId="27">
    <w:abstractNumId w:val="5"/>
  </w:num>
  <w:num w:numId="28">
    <w:abstractNumId w:val="23"/>
  </w:num>
  <w:num w:numId="2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358"/>
    <w:rsid w:val="00004230"/>
    <w:rsid w:val="00004660"/>
    <w:rsid w:val="00004DBC"/>
    <w:rsid w:val="00006A37"/>
    <w:rsid w:val="000073DD"/>
    <w:rsid w:val="000106F5"/>
    <w:rsid w:val="00013565"/>
    <w:rsid w:val="00013692"/>
    <w:rsid w:val="0002543A"/>
    <w:rsid w:val="0002567A"/>
    <w:rsid w:val="0002625A"/>
    <w:rsid w:val="00026405"/>
    <w:rsid w:val="00030531"/>
    <w:rsid w:val="0003278D"/>
    <w:rsid w:val="00034810"/>
    <w:rsid w:val="00034BD2"/>
    <w:rsid w:val="0003706B"/>
    <w:rsid w:val="00044D4B"/>
    <w:rsid w:val="00055553"/>
    <w:rsid w:val="00056F95"/>
    <w:rsid w:val="00057015"/>
    <w:rsid w:val="00061970"/>
    <w:rsid w:val="00062075"/>
    <w:rsid w:val="0006462B"/>
    <w:rsid w:val="0006592E"/>
    <w:rsid w:val="00066541"/>
    <w:rsid w:val="000670B8"/>
    <w:rsid w:val="000708E3"/>
    <w:rsid w:val="00071D28"/>
    <w:rsid w:val="00075D7D"/>
    <w:rsid w:val="000809C5"/>
    <w:rsid w:val="00082C02"/>
    <w:rsid w:val="000842C8"/>
    <w:rsid w:val="00090527"/>
    <w:rsid w:val="00094684"/>
    <w:rsid w:val="00097D74"/>
    <w:rsid w:val="000A358B"/>
    <w:rsid w:val="000A38DC"/>
    <w:rsid w:val="000A6907"/>
    <w:rsid w:val="000B0A71"/>
    <w:rsid w:val="000B4DEF"/>
    <w:rsid w:val="000C3F4D"/>
    <w:rsid w:val="000C4CD8"/>
    <w:rsid w:val="000C6758"/>
    <w:rsid w:val="000C7752"/>
    <w:rsid w:val="000D5D07"/>
    <w:rsid w:val="000E0899"/>
    <w:rsid w:val="000E2B09"/>
    <w:rsid w:val="000F2212"/>
    <w:rsid w:val="000F2671"/>
    <w:rsid w:val="000F4917"/>
    <w:rsid w:val="000F55CD"/>
    <w:rsid w:val="000F5A2B"/>
    <w:rsid w:val="0011317D"/>
    <w:rsid w:val="00113326"/>
    <w:rsid w:val="0011502C"/>
    <w:rsid w:val="0012206D"/>
    <w:rsid w:val="00124909"/>
    <w:rsid w:val="00126EF7"/>
    <w:rsid w:val="00130D01"/>
    <w:rsid w:val="001331AC"/>
    <w:rsid w:val="001376A1"/>
    <w:rsid w:val="00140EC7"/>
    <w:rsid w:val="00145F78"/>
    <w:rsid w:val="00150995"/>
    <w:rsid w:val="00152831"/>
    <w:rsid w:val="001631CC"/>
    <w:rsid w:val="001634F7"/>
    <w:rsid w:val="00163601"/>
    <w:rsid w:val="001657E4"/>
    <w:rsid w:val="00174E04"/>
    <w:rsid w:val="0018339B"/>
    <w:rsid w:val="00186CDF"/>
    <w:rsid w:val="00192007"/>
    <w:rsid w:val="001A0BEB"/>
    <w:rsid w:val="001A1DD0"/>
    <w:rsid w:val="001A1DEB"/>
    <w:rsid w:val="001A63EF"/>
    <w:rsid w:val="001C10A8"/>
    <w:rsid w:val="001C144D"/>
    <w:rsid w:val="001C4D14"/>
    <w:rsid w:val="001C5C9A"/>
    <w:rsid w:val="001C6358"/>
    <w:rsid w:val="001D537B"/>
    <w:rsid w:val="001D5A1B"/>
    <w:rsid w:val="001E1A10"/>
    <w:rsid w:val="001E4D1A"/>
    <w:rsid w:val="001E4D6E"/>
    <w:rsid w:val="001E6396"/>
    <w:rsid w:val="001F3453"/>
    <w:rsid w:val="001F562C"/>
    <w:rsid w:val="001F5A6C"/>
    <w:rsid w:val="00205889"/>
    <w:rsid w:val="00210427"/>
    <w:rsid w:val="00210AE8"/>
    <w:rsid w:val="0022289D"/>
    <w:rsid w:val="002237D2"/>
    <w:rsid w:val="0022413E"/>
    <w:rsid w:val="00231A04"/>
    <w:rsid w:val="00232EBA"/>
    <w:rsid w:val="002417A8"/>
    <w:rsid w:val="0024184D"/>
    <w:rsid w:val="0024402D"/>
    <w:rsid w:val="00244531"/>
    <w:rsid w:val="00245176"/>
    <w:rsid w:val="002463AC"/>
    <w:rsid w:val="00250E60"/>
    <w:rsid w:val="00253867"/>
    <w:rsid w:val="00257428"/>
    <w:rsid w:val="002628E7"/>
    <w:rsid w:val="00263460"/>
    <w:rsid w:val="00265BE4"/>
    <w:rsid w:val="00272CC7"/>
    <w:rsid w:val="00275300"/>
    <w:rsid w:val="00284C1D"/>
    <w:rsid w:val="00285578"/>
    <w:rsid w:val="002875D3"/>
    <w:rsid w:val="00292557"/>
    <w:rsid w:val="00293689"/>
    <w:rsid w:val="0029377C"/>
    <w:rsid w:val="00295F39"/>
    <w:rsid w:val="002A532A"/>
    <w:rsid w:val="002B2865"/>
    <w:rsid w:val="002B5884"/>
    <w:rsid w:val="002B78D1"/>
    <w:rsid w:val="002C0C81"/>
    <w:rsid w:val="002D17E1"/>
    <w:rsid w:val="002D1B37"/>
    <w:rsid w:val="002D46B4"/>
    <w:rsid w:val="002D66C3"/>
    <w:rsid w:val="002D7E34"/>
    <w:rsid w:val="002E38B7"/>
    <w:rsid w:val="002F02E1"/>
    <w:rsid w:val="002F2F09"/>
    <w:rsid w:val="002F7BAB"/>
    <w:rsid w:val="002F7FF9"/>
    <w:rsid w:val="00304C7B"/>
    <w:rsid w:val="003061B1"/>
    <w:rsid w:val="0030652D"/>
    <w:rsid w:val="00311748"/>
    <w:rsid w:val="00312DFA"/>
    <w:rsid w:val="003152BA"/>
    <w:rsid w:val="00316636"/>
    <w:rsid w:val="0032495D"/>
    <w:rsid w:val="00324D3B"/>
    <w:rsid w:val="00326334"/>
    <w:rsid w:val="003271A7"/>
    <w:rsid w:val="0033154E"/>
    <w:rsid w:val="003319D6"/>
    <w:rsid w:val="003338C0"/>
    <w:rsid w:val="00337D56"/>
    <w:rsid w:val="003400BF"/>
    <w:rsid w:val="003416D7"/>
    <w:rsid w:val="00344820"/>
    <w:rsid w:val="00347A83"/>
    <w:rsid w:val="0035361D"/>
    <w:rsid w:val="0035455B"/>
    <w:rsid w:val="00370015"/>
    <w:rsid w:val="003748C6"/>
    <w:rsid w:val="00375A6B"/>
    <w:rsid w:val="00376A55"/>
    <w:rsid w:val="00377078"/>
    <w:rsid w:val="00382F3E"/>
    <w:rsid w:val="0038427A"/>
    <w:rsid w:val="00384761"/>
    <w:rsid w:val="003860DD"/>
    <w:rsid w:val="003918CF"/>
    <w:rsid w:val="00392E35"/>
    <w:rsid w:val="00392FEE"/>
    <w:rsid w:val="00393DEE"/>
    <w:rsid w:val="003A1602"/>
    <w:rsid w:val="003A440B"/>
    <w:rsid w:val="003A4FDF"/>
    <w:rsid w:val="003A5C22"/>
    <w:rsid w:val="003B1788"/>
    <w:rsid w:val="003B30C6"/>
    <w:rsid w:val="003B6451"/>
    <w:rsid w:val="003B67A9"/>
    <w:rsid w:val="003B78BA"/>
    <w:rsid w:val="003C1260"/>
    <w:rsid w:val="003C3F48"/>
    <w:rsid w:val="003C4008"/>
    <w:rsid w:val="003C5388"/>
    <w:rsid w:val="003C5476"/>
    <w:rsid w:val="003C7584"/>
    <w:rsid w:val="003D0E2A"/>
    <w:rsid w:val="003D164F"/>
    <w:rsid w:val="003D1BFA"/>
    <w:rsid w:val="003E1B8F"/>
    <w:rsid w:val="003E26AB"/>
    <w:rsid w:val="003F40FB"/>
    <w:rsid w:val="003F727C"/>
    <w:rsid w:val="003F7420"/>
    <w:rsid w:val="00400789"/>
    <w:rsid w:val="0041143D"/>
    <w:rsid w:val="0041252A"/>
    <w:rsid w:val="00427023"/>
    <w:rsid w:val="004316B7"/>
    <w:rsid w:val="00432A79"/>
    <w:rsid w:val="00432C32"/>
    <w:rsid w:val="00447E5C"/>
    <w:rsid w:val="00453259"/>
    <w:rsid w:val="0045561B"/>
    <w:rsid w:val="0045716D"/>
    <w:rsid w:val="0045789D"/>
    <w:rsid w:val="004636B0"/>
    <w:rsid w:val="00465C33"/>
    <w:rsid w:val="00466A62"/>
    <w:rsid w:val="0047066B"/>
    <w:rsid w:val="00471DDE"/>
    <w:rsid w:val="00474228"/>
    <w:rsid w:val="004775FF"/>
    <w:rsid w:val="00484417"/>
    <w:rsid w:val="00487AB8"/>
    <w:rsid w:val="004A05AF"/>
    <w:rsid w:val="004A31CC"/>
    <w:rsid w:val="004A3598"/>
    <w:rsid w:val="004A602D"/>
    <w:rsid w:val="004A7761"/>
    <w:rsid w:val="004B2450"/>
    <w:rsid w:val="004B6E3E"/>
    <w:rsid w:val="004D14F2"/>
    <w:rsid w:val="004D72EB"/>
    <w:rsid w:val="004F0677"/>
    <w:rsid w:val="004F1C56"/>
    <w:rsid w:val="004F4EF4"/>
    <w:rsid w:val="00500F0E"/>
    <w:rsid w:val="0050467C"/>
    <w:rsid w:val="005047C7"/>
    <w:rsid w:val="0050640E"/>
    <w:rsid w:val="0051073F"/>
    <w:rsid w:val="00512FA3"/>
    <w:rsid w:val="0051307C"/>
    <w:rsid w:val="00515799"/>
    <w:rsid w:val="00516EEF"/>
    <w:rsid w:val="00517305"/>
    <w:rsid w:val="00517707"/>
    <w:rsid w:val="005307AA"/>
    <w:rsid w:val="005327B3"/>
    <w:rsid w:val="00532EE1"/>
    <w:rsid w:val="00536D33"/>
    <w:rsid w:val="00537E75"/>
    <w:rsid w:val="00540194"/>
    <w:rsid w:val="00542AFC"/>
    <w:rsid w:val="0054483C"/>
    <w:rsid w:val="00552696"/>
    <w:rsid w:val="00552E5A"/>
    <w:rsid w:val="0055431F"/>
    <w:rsid w:val="005544EB"/>
    <w:rsid w:val="0055779E"/>
    <w:rsid w:val="00564A9F"/>
    <w:rsid w:val="00565B60"/>
    <w:rsid w:val="00572B9D"/>
    <w:rsid w:val="00572F7F"/>
    <w:rsid w:val="00574F75"/>
    <w:rsid w:val="005759CB"/>
    <w:rsid w:val="0057783C"/>
    <w:rsid w:val="00591C34"/>
    <w:rsid w:val="00594FB4"/>
    <w:rsid w:val="005A1307"/>
    <w:rsid w:val="005A2FBD"/>
    <w:rsid w:val="005A5800"/>
    <w:rsid w:val="005A65C8"/>
    <w:rsid w:val="005A74D3"/>
    <w:rsid w:val="005A78CC"/>
    <w:rsid w:val="005B3743"/>
    <w:rsid w:val="005B3BDA"/>
    <w:rsid w:val="005C029E"/>
    <w:rsid w:val="005C6194"/>
    <w:rsid w:val="005D2E33"/>
    <w:rsid w:val="005D3606"/>
    <w:rsid w:val="005D5180"/>
    <w:rsid w:val="005D5B28"/>
    <w:rsid w:val="005D63DF"/>
    <w:rsid w:val="005E37C6"/>
    <w:rsid w:val="005E62FA"/>
    <w:rsid w:val="005F006F"/>
    <w:rsid w:val="005F4BB1"/>
    <w:rsid w:val="005F54AD"/>
    <w:rsid w:val="005F78BC"/>
    <w:rsid w:val="006049FC"/>
    <w:rsid w:val="00606EED"/>
    <w:rsid w:val="00610A46"/>
    <w:rsid w:val="00614D02"/>
    <w:rsid w:val="00616562"/>
    <w:rsid w:val="00616C58"/>
    <w:rsid w:val="0062095A"/>
    <w:rsid w:val="006230BB"/>
    <w:rsid w:val="00632449"/>
    <w:rsid w:val="00633592"/>
    <w:rsid w:val="00634135"/>
    <w:rsid w:val="006369A8"/>
    <w:rsid w:val="006370F0"/>
    <w:rsid w:val="00642A05"/>
    <w:rsid w:val="00642BB7"/>
    <w:rsid w:val="00647DFC"/>
    <w:rsid w:val="00650954"/>
    <w:rsid w:val="006539ED"/>
    <w:rsid w:val="006546F2"/>
    <w:rsid w:val="00657A2F"/>
    <w:rsid w:val="006617F6"/>
    <w:rsid w:val="006627B5"/>
    <w:rsid w:val="00662C53"/>
    <w:rsid w:val="00671862"/>
    <w:rsid w:val="00672C39"/>
    <w:rsid w:val="0068087E"/>
    <w:rsid w:val="006809C1"/>
    <w:rsid w:val="00682706"/>
    <w:rsid w:val="006865B7"/>
    <w:rsid w:val="00694252"/>
    <w:rsid w:val="00695EE7"/>
    <w:rsid w:val="006960F9"/>
    <w:rsid w:val="006A17DB"/>
    <w:rsid w:val="006A19B6"/>
    <w:rsid w:val="006A27F5"/>
    <w:rsid w:val="006A446E"/>
    <w:rsid w:val="006A4CE2"/>
    <w:rsid w:val="006A755C"/>
    <w:rsid w:val="006C03A1"/>
    <w:rsid w:val="006C0FA8"/>
    <w:rsid w:val="006C460E"/>
    <w:rsid w:val="006C5106"/>
    <w:rsid w:val="006D73ED"/>
    <w:rsid w:val="006D75D1"/>
    <w:rsid w:val="006E0397"/>
    <w:rsid w:val="006E0A0B"/>
    <w:rsid w:val="006E42B8"/>
    <w:rsid w:val="006E4F46"/>
    <w:rsid w:val="006E723E"/>
    <w:rsid w:val="006F2FED"/>
    <w:rsid w:val="006F5B3A"/>
    <w:rsid w:val="00712885"/>
    <w:rsid w:val="00713658"/>
    <w:rsid w:val="00726C47"/>
    <w:rsid w:val="007311A9"/>
    <w:rsid w:val="00734839"/>
    <w:rsid w:val="0073596D"/>
    <w:rsid w:val="00745F12"/>
    <w:rsid w:val="00751177"/>
    <w:rsid w:val="0075196D"/>
    <w:rsid w:val="007530B1"/>
    <w:rsid w:val="007608B1"/>
    <w:rsid w:val="00761F00"/>
    <w:rsid w:val="00763DD7"/>
    <w:rsid w:val="0077224A"/>
    <w:rsid w:val="00773787"/>
    <w:rsid w:val="00782994"/>
    <w:rsid w:val="00787565"/>
    <w:rsid w:val="0079571D"/>
    <w:rsid w:val="007964EF"/>
    <w:rsid w:val="007968C0"/>
    <w:rsid w:val="007A147D"/>
    <w:rsid w:val="007A2F40"/>
    <w:rsid w:val="007B0DF8"/>
    <w:rsid w:val="007B28F0"/>
    <w:rsid w:val="007B48ED"/>
    <w:rsid w:val="007B5EE4"/>
    <w:rsid w:val="007B7A4A"/>
    <w:rsid w:val="007C22D3"/>
    <w:rsid w:val="007C3BF7"/>
    <w:rsid w:val="007C5C8C"/>
    <w:rsid w:val="007D400D"/>
    <w:rsid w:val="007D7BFF"/>
    <w:rsid w:val="007E161E"/>
    <w:rsid w:val="007E4366"/>
    <w:rsid w:val="007E5E78"/>
    <w:rsid w:val="007E63C4"/>
    <w:rsid w:val="007F52E7"/>
    <w:rsid w:val="007F5B96"/>
    <w:rsid w:val="00803C68"/>
    <w:rsid w:val="0081212A"/>
    <w:rsid w:val="008140DC"/>
    <w:rsid w:val="008144E2"/>
    <w:rsid w:val="00814B9F"/>
    <w:rsid w:val="00814FF7"/>
    <w:rsid w:val="00816BFE"/>
    <w:rsid w:val="00817DD9"/>
    <w:rsid w:val="00817FBB"/>
    <w:rsid w:val="0083506C"/>
    <w:rsid w:val="008359D8"/>
    <w:rsid w:val="008373E7"/>
    <w:rsid w:val="008452B0"/>
    <w:rsid w:val="008504E4"/>
    <w:rsid w:val="00851587"/>
    <w:rsid w:val="008608EA"/>
    <w:rsid w:val="00864218"/>
    <w:rsid w:val="0087100C"/>
    <w:rsid w:val="00871EBA"/>
    <w:rsid w:val="00872198"/>
    <w:rsid w:val="008725B6"/>
    <w:rsid w:val="008776D0"/>
    <w:rsid w:val="00882D5E"/>
    <w:rsid w:val="008833B1"/>
    <w:rsid w:val="0088550D"/>
    <w:rsid w:val="00890604"/>
    <w:rsid w:val="00894166"/>
    <w:rsid w:val="008944FD"/>
    <w:rsid w:val="008A09A1"/>
    <w:rsid w:val="008A16F9"/>
    <w:rsid w:val="008A757B"/>
    <w:rsid w:val="008B369A"/>
    <w:rsid w:val="008C3F48"/>
    <w:rsid w:val="008D2C93"/>
    <w:rsid w:val="008D2CE5"/>
    <w:rsid w:val="008E0BF1"/>
    <w:rsid w:val="008E192F"/>
    <w:rsid w:val="008E1988"/>
    <w:rsid w:val="008E23C8"/>
    <w:rsid w:val="008E6A76"/>
    <w:rsid w:val="008F23B3"/>
    <w:rsid w:val="008F7C03"/>
    <w:rsid w:val="00901E79"/>
    <w:rsid w:val="0090315A"/>
    <w:rsid w:val="0090487E"/>
    <w:rsid w:val="0091019D"/>
    <w:rsid w:val="009108CA"/>
    <w:rsid w:val="00910A8A"/>
    <w:rsid w:val="009117D4"/>
    <w:rsid w:val="00912CD3"/>
    <w:rsid w:val="00915F8B"/>
    <w:rsid w:val="00920B75"/>
    <w:rsid w:val="00921C90"/>
    <w:rsid w:val="009236AB"/>
    <w:rsid w:val="00924D5F"/>
    <w:rsid w:val="00927CD4"/>
    <w:rsid w:val="00933738"/>
    <w:rsid w:val="00934645"/>
    <w:rsid w:val="00937E42"/>
    <w:rsid w:val="00940ACB"/>
    <w:rsid w:val="00941DA8"/>
    <w:rsid w:val="009420A4"/>
    <w:rsid w:val="009427D9"/>
    <w:rsid w:val="00943B72"/>
    <w:rsid w:val="009456F3"/>
    <w:rsid w:val="009519FA"/>
    <w:rsid w:val="00954B62"/>
    <w:rsid w:val="009611B0"/>
    <w:rsid w:val="00962F4D"/>
    <w:rsid w:val="009647AA"/>
    <w:rsid w:val="009649A4"/>
    <w:rsid w:val="00965AC3"/>
    <w:rsid w:val="00973650"/>
    <w:rsid w:val="00977973"/>
    <w:rsid w:val="0098012C"/>
    <w:rsid w:val="00983E39"/>
    <w:rsid w:val="00983EC1"/>
    <w:rsid w:val="00984886"/>
    <w:rsid w:val="009911D5"/>
    <w:rsid w:val="00995FCE"/>
    <w:rsid w:val="009A2B5E"/>
    <w:rsid w:val="009A4043"/>
    <w:rsid w:val="009A59B7"/>
    <w:rsid w:val="009A6FB7"/>
    <w:rsid w:val="009B1478"/>
    <w:rsid w:val="009C37E3"/>
    <w:rsid w:val="009C6839"/>
    <w:rsid w:val="009D097D"/>
    <w:rsid w:val="009D0BA5"/>
    <w:rsid w:val="009D719D"/>
    <w:rsid w:val="009E665A"/>
    <w:rsid w:val="009F155A"/>
    <w:rsid w:val="009F75F8"/>
    <w:rsid w:val="00A02669"/>
    <w:rsid w:val="00A03848"/>
    <w:rsid w:val="00A05488"/>
    <w:rsid w:val="00A07ECC"/>
    <w:rsid w:val="00A20A9C"/>
    <w:rsid w:val="00A20DE2"/>
    <w:rsid w:val="00A212E8"/>
    <w:rsid w:val="00A255B0"/>
    <w:rsid w:val="00A329B3"/>
    <w:rsid w:val="00A403BE"/>
    <w:rsid w:val="00A466A4"/>
    <w:rsid w:val="00A47668"/>
    <w:rsid w:val="00A55958"/>
    <w:rsid w:val="00A6574D"/>
    <w:rsid w:val="00A6644B"/>
    <w:rsid w:val="00A66B3B"/>
    <w:rsid w:val="00A71125"/>
    <w:rsid w:val="00A713D3"/>
    <w:rsid w:val="00A7181E"/>
    <w:rsid w:val="00A734FB"/>
    <w:rsid w:val="00A73EB0"/>
    <w:rsid w:val="00A73FC6"/>
    <w:rsid w:val="00A75B30"/>
    <w:rsid w:val="00A75DB4"/>
    <w:rsid w:val="00A75F21"/>
    <w:rsid w:val="00A77835"/>
    <w:rsid w:val="00A85003"/>
    <w:rsid w:val="00A86248"/>
    <w:rsid w:val="00AA33ED"/>
    <w:rsid w:val="00AA633B"/>
    <w:rsid w:val="00AA7C7B"/>
    <w:rsid w:val="00AB283C"/>
    <w:rsid w:val="00AC4815"/>
    <w:rsid w:val="00AD499C"/>
    <w:rsid w:val="00AD6F94"/>
    <w:rsid w:val="00AE5233"/>
    <w:rsid w:val="00AF0CC0"/>
    <w:rsid w:val="00AF1332"/>
    <w:rsid w:val="00AF521B"/>
    <w:rsid w:val="00AF5456"/>
    <w:rsid w:val="00B00137"/>
    <w:rsid w:val="00B07209"/>
    <w:rsid w:val="00B110BF"/>
    <w:rsid w:val="00B11762"/>
    <w:rsid w:val="00B11FEF"/>
    <w:rsid w:val="00B14D8F"/>
    <w:rsid w:val="00B154E1"/>
    <w:rsid w:val="00B17810"/>
    <w:rsid w:val="00B22D8E"/>
    <w:rsid w:val="00B23929"/>
    <w:rsid w:val="00B23BFD"/>
    <w:rsid w:val="00B3054C"/>
    <w:rsid w:val="00B318E4"/>
    <w:rsid w:val="00B33355"/>
    <w:rsid w:val="00B36E87"/>
    <w:rsid w:val="00B42333"/>
    <w:rsid w:val="00B45A80"/>
    <w:rsid w:val="00B46FBB"/>
    <w:rsid w:val="00B508A2"/>
    <w:rsid w:val="00B54078"/>
    <w:rsid w:val="00B61FC7"/>
    <w:rsid w:val="00B63D2F"/>
    <w:rsid w:val="00B64E71"/>
    <w:rsid w:val="00B66789"/>
    <w:rsid w:val="00B67AB3"/>
    <w:rsid w:val="00B765FF"/>
    <w:rsid w:val="00B77425"/>
    <w:rsid w:val="00B83788"/>
    <w:rsid w:val="00B84614"/>
    <w:rsid w:val="00B859FA"/>
    <w:rsid w:val="00B93646"/>
    <w:rsid w:val="00B97A22"/>
    <w:rsid w:val="00BA0ECE"/>
    <w:rsid w:val="00BA655A"/>
    <w:rsid w:val="00BA7326"/>
    <w:rsid w:val="00BB172F"/>
    <w:rsid w:val="00BB2B35"/>
    <w:rsid w:val="00BB51E8"/>
    <w:rsid w:val="00BC1A49"/>
    <w:rsid w:val="00BC45DE"/>
    <w:rsid w:val="00BD6295"/>
    <w:rsid w:val="00BD7F86"/>
    <w:rsid w:val="00BE0EC1"/>
    <w:rsid w:val="00BE2CC1"/>
    <w:rsid w:val="00BE4FC3"/>
    <w:rsid w:val="00BE5A1A"/>
    <w:rsid w:val="00BF22BF"/>
    <w:rsid w:val="00C021BF"/>
    <w:rsid w:val="00C02548"/>
    <w:rsid w:val="00C03B1D"/>
    <w:rsid w:val="00C079C8"/>
    <w:rsid w:val="00C112BE"/>
    <w:rsid w:val="00C14C4A"/>
    <w:rsid w:val="00C159C5"/>
    <w:rsid w:val="00C16377"/>
    <w:rsid w:val="00C16883"/>
    <w:rsid w:val="00C21B0C"/>
    <w:rsid w:val="00C224CB"/>
    <w:rsid w:val="00C22E1D"/>
    <w:rsid w:val="00C23CDA"/>
    <w:rsid w:val="00C2538D"/>
    <w:rsid w:val="00C25CF7"/>
    <w:rsid w:val="00C30DC6"/>
    <w:rsid w:val="00C312D9"/>
    <w:rsid w:val="00C343F2"/>
    <w:rsid w:val="00C34ED2"/>
    <w:rsid w:val="00C41DE3"/>
    <w:rsid w:val="00C434E4"/>
    <w:rsid w:val="00C43E84"/>
    <w:rsid w:val="00C45015"/>
    <w:rsid w:val="00C540B7"/>
    <w:rsid w:val="00C608A0"/>
    <w:rsid w:val="00C61F00"/>
    <w:rsid w:val="00C6296D"/>
    <w:rsid w:val="00C73DB8"/>
    <w:rsid w:val="00C761B2"/>
    <w:rsid w:val="00C762D5"/>
    <w:rsid w:val="00C77267"/>
    <w:rsid w:val="00C87814"/>
    <w:rsid w:val="00C91221"/>
    <w:rsid w:val="00C95FEB"/>
    <w:rsid w:val="00CA1A0E"/>
    <w:rsid w:val="00CA43F8"/>
    <w:rsid w:val="00CA56B8"/>
    <w:rsid w:val="00CA65D1"/>
    <w:rsid w:val="00CB2AC4"/>
    <w:rsid w:val="00CC1996"/>
    <w:rsid w:val="00CC3DFA"/>
    <w:rsid w:val="00CC47D1"/>
    <w:rsid w:val="00CC5163"/>
    <w:rsid w:val="00CC5566"/>
    <w:rsid w:val="00CD4A85"/>
    <w:rsid w:val="00CD77D8"/>
    <w:rsid w:val="00CE7E95"/>
    <w:rsid w:val="00CF4EB5"/>
    <w:rsid w:val="00CF555E"/>
    <w:rsid w:val="00CF5E90"/>
    <w:rsid w:val="00D0018D"/>
    <w:rsid w:val="00D05121"/>
    <w:rsid w:val="00D1202B"/>
    <w:rsid w:val="00D14E4D"/>
    <w:rsid w:val="00D207F6"/>
    <w:rsid w:val="00D20F37"/>
    <w:rsid w:val="00D23BC6"/>
    <w:rsid w:val="00D300AF"/>
    <w:rsid w:val="00D3169A"/>
    <w:rsid w:val="00D334FF"/>
    <w:rsid w:val="00D40D2C"/>
    <w:rsid w:val="00D420EB"/>
    <w:rsid w:val="00D445BF"/>
    <w:rsid w:val="00D5500B"/>
    <w:rsid w:val="00D55317"/>
    <w:rsid w:val="00D6132A"/>
    <w:rsid w:val="00D619C6"/>
    <w:rsid w:val="00D637D0"/>
    <w:rsid w:val="00D6643D"/>
    <w:rsid w:val="00D73029"/>
    <w:rsid w:val="00D77532"/>
    <w:rsid w:val="00D84B7C"/>
    <w:rsid w:val="00D8680A"/>
    <w:rsid w:val="00D963F5"/>
    <w:rsid w:val="00DA1806"/>
    <w:rsid w:val="00DA2BCC"/>
    <w:rsid w:val="00DA2FD9"/>
    <w:rsid w:val="00DB0EA9"/>
    <w:rsid w:val="00DB495E"/>
    <w:rsid w:val="00DC0B9C"/>
    <w:rsid w:val="00DC293A"/>
    <w:rsid w:val="00DC6F85"/>
    <w:rsid w:val="00DD0D86"/>
    <w:rsid w:val="00DD3180"/>
    <w:rsid w:val="00DD5F80"/>
    <w:rsid w:val="00DE1A6A"/>
    <w:rsid w:val="00DE69F7"/>
    <w:rsid w:val="00DF101B"/>
    <w:rsid w:val="00DF324D"/>
    <w:rsid w:val="00DF4686"/>
    <w:rsid w:val="00DF4D0B"/>
    <w:rsid w:val="00DF5925"/>
    <w:rsid w:val="00DF7880"/>
    <w:rsid w:val="00E022B0"/>
    <w:rsid w:val="00E0391A"/>
    <w:rsid w:val="00E046F2"/>
    <w:rsid w:val="00E07500"/>
    <w:rsid w:val="00E078BE"/>
    <w:rsid w:val="00E12268"/>
    <w:rsid w:val="00E14160"/>
    <w:rsid w:val="00E163C3"/>
    <w:rsid w:val="00E27FB2"/>
    <w:rsid w:val="00E30F76"/>
    <w:rsid w:val="00E31643"/>
    <w:rsid w:val="00E324D0"/>
    <w:rsid w:val="00E33DC7"/>
    <w:rsid w:val="00E37339"/>
    <w:rsid w:val="00E37F08"/>
    <w:rsid w:val="00E45A42"/>
    <w:rsid w:val="00E47454"/>
    <w:rsid w:val="00E546E2"/>
    <w:rsid w:val="00E54B76"/>
    <w:rsid w:val="00E562C8"/>
    <w:rsid w:val="00E7514E"/>
    <w:rsid w:val="00E76E95"/>
    <w:rsid w:val="00E84CB8"/>
    <w:rsid w:val="00E85C85"/>
    <w:rsid w:val="00E9000C"/>
    <w:rsid w:val="00E9404A"/>
    <w:rsid w:val="00EA2DD1"/>
    <w:rsid w:val="00EA6971"/>
    <w:rsid w:val="00EA77DD"/>
    <w:rsid w:val="00EB06D8"/>
    <w:rsid w:val="00EB1DA8"/>
    <w:rsid w:val="00EB328F"/>
    <w:rsid w:val="00EB3717"/>
    <w:rsid w:val="00EB5027"/>
    <w:rsid w:val="00EB78F6"/>
    <w:rsid w:val="00EC6C65"/>
    <w:rsid w:val="00ED0894"/>
    <w:rsid w:val="00ED1C33"/>
    <w:rsid w:val="00ED3F52"/>
    <w:rsid w:val="00EE4F95"/>
    <w:rsid w:val="00EE59FE"/>
    <w:rsid w:val="00EF6D13"/>
    <w:rsid w:val="00F0120D"/>
    <w:rsid w:val="00F01438"/>
    <w:rsid w:val="00F02EAF"/>
    <w:rsid w:val="00F03875"/>
    <w:rsid w:val="00F0683D"/>
    <w:rsid w:val="00F10DE6"/>
    <w:rsid w:val="00F1163F"/>
    <w:rsid w:val="00F146DA"/>
    <w:rsid w:val="00F15778"/>
    <w:rsid w:val="00F168BA"/>
    <w:rsid w:val="00F16CDB"/>
    <w:rsid w:val="00F2026B"/>
    <w:rsid w:val="00F222F1"/>
    <w:rsid w:val="00F22339"/>
    <w:rsid w:val="00F255A3"/>
    <w:rsid w:val="00F25A08"/>
    <w:rsid w:val="00F25FCD"/>
    <w:rsid w:val="00F26AC7"/>
    <w:rsid w:val="00F31D4B"/>
    <w:rsid w:val="00F337C2"/>
    <w:rsid w:val="00F43A2C"/>
    <w:rsid w:val="00F43EBF"/>
    <w:rsid w:val="00F46A09"/>
    <w:rsid w:val="00F46DA4"/>
    <w:rsid w:val="00F47F44"/>
    <w:rsid w:val="00F51AC2"/>
    <w:rsid w:val="00F54123"/>
    <w:rsid w:val="00F6102E"/>
    <w:rsid w:val="00F63F3D"/>
    <w:rsid w:val="00F64A43"/>
    <w:rsid w:val="00F65C07"/>
    <w:rsid w:val="00F7173F"/>
    <w:rsid w:val="00F71CF7"/>
    <w:rsid w:val="00F8228A"/>
    <w:rsid w:val="00F83046"/>
    <w:rsid w:val="00F844C4"/>
    <w:rsid w:val="00F84A0E"/>
    <w:rsid w:val="00F90344"/>
    <w:rsid w:val="00F934E4"/>
    <w:rsid w:val="00F94F95"/>
    <w:rsid w:val="00F96221"/>
    <w:rsid w:val="00FA040B"/>
    <w:rsid w:val="00FA0898"/>
    <w:rsid w:val="00FA5AD7"/>
    <w:rsid w:val="00FA607E"/>
    <w:rsid w:val="00FA643B"/>
    <w:rsid w:val="00FB69B3"/>
    <w:rsid w:val="00FB6E48"/>
    <w:rsid w:val="00FC0580"/>
    <w:rsid w:val="00FC32B8"/>
    <w:rsid w:val="00FC36FB"/>
    <w:rsid w:val="00FC5772"/>
    <w:rsid w:val="00FD184D"/>
    <w:rsid w:val="00FD18AB"/>
    <w:rsid w:val="00FD2C09"/>
    <w:rsid w:val="00FD5887"/>
    <w:rsid w:val="00FD6243"/>
    <w:rsid w:val="00FD63D1"/>
    <w:rsid w:val="00FE0980"/>
    <w:rsid w:val="00FF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5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0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8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8C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766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1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3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1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5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8E4C-A8AD-487F-BB43-7C938FDF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Chioma Orjiako</dc:creator>
  <cp:lastModifiedBy>cmcsecretariat</cp:lastModifiedBy>
  <cp:revision>2</cp:revision>
  <cp:lastPrinted>2015-11-23T10:25:00Z</cp:lastPrinted>
  <dcterms:created xsi:type="dcterms:W3CDTF">2015-12-02T10:51:00Z</dcterms:created>
  <dcterms:modified xsi:type="dcterms:W3CDTF">2015-12-02T10:51:00Z</dcterms:modified>
</cp:coreProperties>
</file>